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AB5CF4" w14:textId="3D1A1E92" w:rsidR="00726C99" w:rsidRDefault="00954211" w:rsidP="00AF1554">
      <w:pPr>
        <w:spacing w:after="0"/>
        <w:jc w:val="center"/>
        <w:rPr>
          <w:b/>
          <w:bCs/>
        </w:rPr>
      </w:pPr>
      <w:r>
        <w:rPr>
          <w:b/>
          <w:bCs/>
        </w:rPr>
        <w:t>Data Standards for Continuous Monitoring Data</w:t>
      </w:r>
      <w:r w:rsidR="00DA5860">
        <w:rPr>
          <w:b/>
          <w:bCs/>
        </w:rPr>
        <w:t>: A</w:t>
      </w:r>
      <w:r w:rsidR="00C94E46">
        <w:rPr>
          <w:b/>
          <w:bCs/>
        </w:rPr>
        <w:t>n Evaluation and Recommendation</w:t>
      </w:r>
    </w:p>
    <w:p w14:paraId="02C723C3" w14:textId="619DD2B9" w:rsidR="00954211" w:rsidRDefault="002D0BAF" w:rsidP="00AF1554">
      <w:pPr>
        <w:spacing w:after="0"/>
        <w:jc w:val="center"/>
        <w:rPr>
          <w:b/>
          <w:bCs/>
        </w:rPr>
      </w:pPr>
      <w:r>
        <w:rPr>
          <w:b/>
          <w:bCs/>
        </w:rPr>
        <w:t>R</w:t>
      </w:r>
      <w:r w:rsidR="00954211">
        <w:rPr>
          <w:b/>
          <w:bCs/>
        </w:rPr>
        <w:t xml:space="preserve">eport by </w:t>
      </w:r>
      <w:r w:rsidR="00E16B0F">
        <w:rPr>
          <w:b/>
          <w:bCs/>
        </w:rPr>
        <w:t xml:space="preserve">Data Standards Team of </w:t>
      </w:r>
      <w:r w:rsidR="00954211">
        <w:rPr>
          <w:b/>
          <w:bCs/>
        </w:rPr>
        <w:t>the E-Enterprise Advanced Monitoring Team</w:t>
      </w:r>
    </w:p>
    <w:p w14:paraId="3F0394D3" w14:textId="0EB4EE81" w:rsidR="00954211" w:rsidRDefault="002D0BAF" w:rsidP="00AF1554">
      <w:pPr>
        <w:spacing w:after="0"/>
        <w:jc w:val="center"/>
        <w:rPr>
          <w:b/>
          <w:bCs/>
        </w:rPr>
      </w:pPr>
      <w:r>
        <w:rPr>
          <w:b/>
          <w:bCs/>
        </w:rPr>
        <w:t>April</w:t>
      </w:r>
      <w:r w:rsidR="00954211">
        <w:rPr>
          <w:b/>
          <w:bCs/>
        </w:rPr>
        <w:t xml:space="preserve"> </w:t>
      </w:r>
      <w:r>
        <w:rPr>
          <w:b/>
          <w:bCs/>
        </w:rPr>
        <w:t>1</w:t>
      </w:r>
      <w:r w:rsidR="00E102E8">
        <w:rPr>
          <w:b/>
          <w:bCs/>
        </w:rPr>
        <w:t>6</w:t>
      </w:r>
      <w:r w:rsidR="00F30840">
        <w:rPr>
          <w:b/>
          <w:bCs/>
        </w:rPr>
        <w:t xml:space="preserve">, </w:t>
      </w:r>
      <w:r>
        <w:rPr>
          <w:b/>
          <w:bCs/>
        </w:rPr>
        <w:t>2018</w:t>
      </w:r>
    </w:p>
    <w:p w14:paraId="42696266" w14:textId="417A9FDD" w:rsidR="00753FE4" w:rsidRDefault="00753FE4" w:rsidP="007E3BD1">
      <w:pPr>
        <w:pStyle w:val="Heading1"/>
      </w:pPr>
      <w:r>
        <w:t>Executive Summary</w:t>
      </w:r>
    </w:p>
    <w:p w14:paraId="7CE5EAFC" w14:textId="10BAFD99" w:rsidR="0033374C" w:rsidRDefault="00D37A97" w:rsidP="00AF1554">
      <w:r w:rsidRPr="00192D10">
        <w:t xml:space="preserve">Environmental monitoring technology is rapidly evolving, with major implications for EPA and state environmental programs. </w:t>
      </w:r>
      <w:r w:rsidR="0033374C" w:rsidRPr="00192D10">
        <w:t>The Advanced Monitoring Team is a collaborative effort</w:t>
      </w:r>
      <w:r w:rsidR="0033374C">
        <w:t xml:space="preserve"> under the E-Enterprise Initiative</w:t>
      </w:r>
      <w:r w:rsidR="0033374C" w:rsidRPr="00192D10">
        <w:t xml:space="preserve"> to understand how to use, communicate, and ensure</w:t>
      </w:r>
      <w:r w:rsidR="00E9583E">
        <w:t xml:space="preserve"> the</w:t>
      </w:r>
      <w:r w:rsidR="0033374C" w:rsidRPr="00192D10">
        <w:t xml:space="preserve"> quality of advanced monitoring data</w:t>
      </w:r>
      <w:r w:rsidR="0033374C">
        <w:t>, especially continuous monitoring data</w:t>
      </w:r>
      <w:r w:rsidR="0033374C" w:rsidRPr="00192D10">
        <w:t xml:space="preserve">. </w:t>
      </w:r>
      <w:r w:rsidR="00F97773">
        <w:t>Its</w:t>
      </w:r>
      <w:r>
        <w:t xml:space="preserve"> Data Standards Team</w:t>
      </w:r>
      <w:r w:rsidRPr="00385831">
        <w:t xml:space="preserve"> </w:t>
      </w:r>
      <w:r w:rsidR="00F97773">
        <w:t>focused on reviewing</w:t>
      </w:r>
      <w:r>
        <w:t xml:space="preserve"> existing</w:t>
      </w:r>
      <w:r w:rsidRPr="00385831">
        <w:t xml:space="preserve"> data standards </w:t>
      </w:r>
      <w:r>
        <w:t>that define</w:t>
      </w:r>
      <w:r w:rsidRPr="00385831">
        <w:t xml:space="preserve"> the representation, format, defi</w:t>
      </w:r>
      <w:r w:rsidR="00F97773">
        <w:t>nition, structure, transmission</w:t>
      </w:r>
      <w:r w:rsidRPr="00385831">
        <w:t xml:space="preserve"> and management of data.</w:t>
      </w:r>
    </w:p>
    <w:p w14:paraId="281E3A06" w14:textId="5D680113" w:rsidR="00E9583E" w:rsidRDefault="00040C64" w:rsidP="00E9583E">
      <w:r>
        <w:rPr>
          <w:noProof/>
        </w:rPr>
        <mc:AlternateContent>
          <mc:Choice Requires="wps">
            <w:drawing>
              <wp:anchor distT="0" distB="0" distL="114300" distR="114300" simplePos="0" relativeHeight="251658242" behindDoc="0" locked="0" layoutInCell="1" allowOverlap="1" wp14:anchorId="50689C61" wp14:editId="0F34B4A1">
                <wp:simplePos x="0" y="0"/>
                <wp:positionH relativeFrom="column">
                  <wp:posOffset>4010025</wp:posOffset>
                </wp:positionH>
                <wp:positionV relativeFrom="paragraph">
                  <wp:posOffset>1003300</wp:posOffset>
                </wp:positionV>
                <wp:extent cx="2247900" cy="3009900"/>
                <wp:effectExtent l="0" t="0" r="19050" b="19050"/>
                <wp:wrapSquare wrapText="bothSides"/>
                <wp:docPr id="3" name="Text Box 3"/>
                <wp:cNvGraphicFramePr/>
                <a:graphic xmlns:a="http://schemas.openxmlformats.org/drawingml/2006/main">
                  <a:graphicData uri="http://schemas.microsoft.com/office/word/2010/wordprocessingShape">
                    <wps:wsp>
                      <wps:cNvSpPr txBox="1"/>
                      <wps:spPr>
                        <a:xfrm>
                          <a:off x="0" y="0"/>
                          <a:ext cx="2247900" cy="3009900"/>
                        </a:xfrm>
                        <a:prstGeom prst="rect">
                          <a:avLst/>
                        </a:prstGeom>
                        <a:solidFill>
                          <a:schemeClr val="lt1"/>
                        </a:solidFill>
                        <a:ln w="6350">
                          <a:solidFill>
                            <a:prstClr val="black"/>
                          </a:solidFill>
                        </a:ln>
                      </wps:spPr>
                      <wps:txbx>
                        <w:txbxContent>
                          <w:p w14:paraId="76BF6F44" w14:textId="77777777" w:rsidR="00B452CC" w:rsidRPr="00B56C9B" w:rsidRDefault="00B452CC" w:rsidP="00D37A97">
                            <w:pPr>
                              <w:spacing w:after="0"/>
                              <w:jc w:val="center"/>
                              <w:rPr>
                                <w:b/>
                                <w:i/>
                              </w:rPr>
                            </w:pPr>
                            <w:r w:rsidRPr="00B56C9B">
                              <w:rPr>
                                <w:b/>
                                <w:i/>
                              </w:rPr>
                              <w:t>Recommended Data Standards</w:t>
                            </w:r>
                          </w:p>
                          <w:p w14:paraId="291C8CC0" w14:textId="2FE91920" w:rsidR="00B452CC" w:rsidRPr="00F03004" w:rsidRDefault="00B452CC" w:rsidP="00D37A97">
                            <w:pPr>
                              <w:spacing w:after="0"/>
                            </w:pPr>
                            <w:r w:rsidRPr="00B56C9B">
                              <w:t xml:space="preserve">Of the eight approaches the team reviewed for sharing continuous data, two of them best met our criteria and use cases: OGC SensorML/WaterML2 and NetCDF/CF. Each approach is </w:t>
                            </w:r>
                            <w:r w:rsidRPr="00B56C9B">
                              <w:rPr>
                                <w:bCs/>
                              </w:rPr>
                              <w:t>designed with specific capabilities so users</w:t>
                            </w:r>
                            <w:r w:rsidRPr="00B56C9B">
                              <w:t xml:space="preserve"> should evaluate them to determine which approach(</w:t>
                            </w:r>
                            <w:proofErr w:type="spellStart"/>
                            <w:r w:rsidRPr="00B56C9B">
                              <w:t>es</w:t>
                            </w:r>
                            <w:proofErr w:type="spellEnd"/>
                            <w:r w:rsidRPr="00B56C9B">
                              <w:t>) meet their needs. Regardless of the data standard chosen, agencies should keep in mind the interoperability of their data standard with the other widely used standards identified in this report.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89C61" id="_x0000_t202" coordsize="21600,21600" o:spt="202" path="m,l,21600r21600,l21600,xe">
                <v:stroke joinstyle="miter"/>
                <v:path gradientshapeok="t" o:connecttype="rect"/>
              </v:shapetype>
              <v:shape id="Text Box 3" o:spid="_x0000_s1026" type="#_x0000_t202" style="position:absolute;margin-left:315.75pt;margin-top:79pt;width:177pt;height:23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" fillcolor="white [3201]" strokeweight=".5pt">
                <v:textbox>
                  <w:txbxContent>
                    <w:p w14:paraId="76BF6F44" w14:textId="77777777" w:rsidR="00B452CC" w:rsidRPr="00B56C9B" w:rsidRDefault="00B452CC" w:rsidP="00D37A97">
                      <w:pPr>
                        <w:spacing w:after="0"/>
                        <w:jc w:val="center"/>
                        <w:rPr>
                          <w:b/>
                          <w:i/>
                        </w:rPr>
                      </w:pPr>
                      <w:r w:rsidRPr="00B56C9B">
                        <w:rPr>
                          <w:b/>
                          <w:i/>
                        </w:rPr>
                        <w:t>Recommended Data Standards</w:t>
                      </w:r>
                    </w:p>
                    <w:p w14:paraId="291C8CC0" w14:textId="2FE91920" w:rsidR="00B452CC" w:rsidRPr="00F03004" w:rsidRDefault="00B452CC" w:rsidP="00D37A97">
                      <w:pPr>
                        <w:spacing w:after="0"/>
                      </w:pPr>
                      <w:r w:rsidRPr="00B56C9B">
                        <w:t xml:space="preserve">Of the eight approaches the team reviewed for sharing continuous data, two of them best met our criteria and use cases: OGC SensorML/WaterML2 and NetCDF/CF. Each approach is </w:t>
                      </w:r>
                      <w:r w:rsidRPr="00B56C9B">
                        <w:rPr>
                          <w:bCs/>
                        </w:rPr>
                        <w:t>designed with specific capabilities so users</w:t>
                      </w:r>
                      <w:r w:rsidRPr="00B56C9B">
                        <w:t xml:space="preserve"> should evaluate them to determine which approach(</w:t>
                      </w:r>
                      <w:proofErr w:type="spellStart"/>
                      <w:r w:rsidRPr="00B56C9B">
                        <w:t>es</w:t>
                      </w:r>
                      <w:proofErr w:type="spellEnd"/>
                      <w:r w:rsidRPr="00B56C9B">
                        <w:t>) meet their needs. Regardless of the data standard chosen, agencies should keep in mind the interoperability of their data standard with the other widely used standards identified in this report.</w:t>
                      </w:r>
                      <w:r>
                        <w:t xml:space="preserve"> </w:t>
                      </w:r>
                    </w:p>
                  </w:txbxContent>
                </v:textbox>
                <w10:wrap type="square"/>
              </v:shape>
            </w:pict>
          </mc:Fallback>
        </mc:AlternateContent>
      </w:r>
      <w:r w:rsidR="00E9583E" w:rsidRPr="4AC4243B">
        <w:rPr>
          <w:rStyle w:val="normaltextrun"/>
          <w:rFonts w:eastAsiaTheme="minorEastAsia"/>
        </w:rPr>
        <w:t xml:space="preserve">“Data standards are the rules by which data are described and recorded. </w:t>
      </w:r>
      <w:proofErr w:type="gramStart"/>
      <w:r w:rsidR="00E9583E" w:rsidRPr="4AC4243B">
        <w:rPr>
          <w:rStyle w:val="normaltextrun"/>
          <w:rFonts w:eastAsiaTheme="minorEastAsia"/>
        </w:rPr>
        <w:t>In order to</w:t>
      </w:r>
      <w:proofErr w:type="gramEnd"/>
      <w:r w:rsidR="00E9583E" w:rsidRPr="4AC4243B">
        <w:rPr>
          <w:rStyle w:val="normaltextrun"/>
          <w:rFonts w:eastAsiaTheme="minorEastAsia"/>
        </w:rPr>
        <w:t xml:space="preserve"> share, exchange, and understand data, we must standardize the format as well as the meaning” </w:t>
      </w:r>
      <w:sdt>
        <w:sdtPr>
          <w:rPr>
            <w:rStyle w:val="normaltextrun"/>
            <w:rFonts w:eastAsiaTheme="minorEastAsia"/>
            <w:bCs/>
          </w:rPr>
          <w:id w:val="27073829"/>
          <w:citation/>
        </w:sdtPr>
        <w:sdtContent>
          <w:r w:rsidR="00E9583E">
            <w:rPr>
              <w:rStyle w:val="normaltextrun"/>
              <w:rFonts w:eastAsiaTheme="minorEastAsia"/>
              <w:bCs/>
            </w:rPr>
            <w:fldChar w:fldCharType="begin"/>
          </w:r>
          <w:r w:rsidR="00E9583E">
            <w:rPr>
              <w:rStyle w:val="normaltextrun"/>
              <w:rFonts w:eastAsiaTheme="minorEastAsia"/>
              <w:bCs/>
            </w:rPr>
            <w:instrText xml:space="preserve"> CITATION USG17 \l 1033 </w:instrText>
          </w:r>
          <w:r w:rsidR="00E9583E">
            <w:rPr>
              <w:rStyle w:val="normaltextrun"/>
              <w:rFonts w:eastAsiaTheme="minorEastAsia"/>
              <w:bCs/>
            </w:rPr>
            <w:fldChar w:fldCharType="separate"/>
          </w:r>
          <w:r w:rsidR="00E9583E" w:rsidRPr="00AD0DE1">
            <w:rPr>
              <w:rFonts w:eastAsiaTheme="minorEastAsia"/>
              <w:noProof/>
            </w:rPr>
            <w:t>(USGS, 2017)</w:t>
          </w:r>
          <w:r w:rsidR="00E9583E">
            <w:rPr>
              <w:rStyle w:val="normaltextrun"/>
              <w:rFonts w:eastAsiaTheme="minorEastAsia"/>
              <w:bCs/>
            </w:rPr>
            <w:fldChar w:fldCharType="end"/>
          </w:r>
        </w:sdtContent>
      </w:sdt>
      <w:r w:rsidR="00E9583E" w:rsidRPr="4AC4243B">
        <w:rPr>
          <w:rStyle w:val="normaltextrun"/>
          <w:rFonts w:eastAsiaTheme="minorEastAsia"/>
        </w:rPr>
        <w:t>.</w:t>
      </w:r>
      <w:r w:rsidR="00C674F9" w:rsidRPr="4AC4243B">
        <w:rPr>
          <w:rStyle w:val="normaltextrun"/>
          <w:rFonts w:eastAsiaTheme="minorEastAsia"/>
        </w:rPr>
        <w:t xml:space="preserve"> </w:t>
      </w:r>
      <w:r w:rsidR="00E9583E" w:rsidRPr="4AC4243B">
        <w:rPr>
          <w:rStyle w:val="normaltextrun"/>
          <w:rFonts w:eastAsiaTheme="minorEastAsia"/>
        </w:rPr>
        <w:t>A data standard enables different entities to be able to communicate</w:t>
      </w:r>
      <w:r w:rsidR="005B1A14" w:rsidRPr="4AC4243B">
        <w:rPr>
          <w:rStyle w:val="normaltextrun"/>
          <w:rFonts w:eastAsiaTheme="minorEastAsia"/>
        </w:rPr>
        <w:t xml:space="preserve"> and share</w:t>
      </w:r>
      <w:r w:rsidR="00D37A97">
        <w:rPr>
          <w:rStyle w:val="normaltextrun"/>
          <w:rFonts w:eastAsiaTheme="minorEastAsia"/>
        </w:rPr>
        <w:t xml:space="preserve"> information between each </w:t>
      </w:r>
      <w:r w:rsidR="00E9583E" w:rsidRPr="4AC4243B">
        <w:rPr>
          <w:rStyle w:val="normaltextrun"/>
          <w:rFonts w:eastAsiaTheme="minorEastAsia"/>
        </w:rPr>
        <w:t>another without having to first process or reformat the data.</w:t>
      </w:r>
      <w:r w:rsidR="00C674F9" w:rsidRPr="4AC4243B">
        <w:rPr>
          <w:rStyle w:val="normaltextrun"/>
          <w:rFonts w:eastAsiaTheme="minorEastAsia"/>
        </w:rPr>
        <w:t xml:space="preserve"> </w:t>
      </w:r>
      <w:r w:rsidR="00E9583E" w:rsidRPr="4AC4243B">
        <w:rPr>
          <w:rStyle w:val="normaltextrun"/>
          <w:rFonts w:eastAsiaTheme="minorEastAsia"/>
        </w:rPr>
        <w:t>Standards are important because they reduce the cost for secondary use of data, and allow for the preservation of the data</w:t>
      </w:r>
      <w:r w:rsidR="00D37A97">
        <w:rPr>
          <w:rStyle w:val="normaltextrun"/>
          <w:rFonts w:eastAsiaTheme="minorEastAsia"/>
        </w:rPr>
        <w:t>,</w:t>
      </w:r>
      <w:r w:rsidR="00E9583E" w:rsidRPr="4AC4243B">
        <w:rPr>
          <w:rStyle w:val="normaltextrun"/>
          <w:rFonts w:eastAsiaTheme="minorEastAsia"/>
        </w:rPr>
        <w:t xml:space="preserve"> thereby preserving the initial investment in the collection of that data.</w:t>
      </w:r>
    </w:p>
    <w:p w14:paraId="59911E54" w14:textId="6EC9E545" w:rsidR="0033374C" w:rsidRDefault="0033374C" w:rsidP="0033374C">
      <w:r>
        <w:t>There are many existing data formats in use in the public and private sector.</w:t>
      </w:r>
      <w:r w:rsidR="00C674F9">
        <w:t xml:space="preserve"> </w:t>
      </w:r>
      <w:r>
        <w:t>The Team explored these formats</w:t>
      </w:r>
      <w:r w:rsidR="00F97773">
        <w:t xml:space="preserve">, </w:t>
      </w:r>
      <w:r>
        <w:t>some of which have been adopted by bro</w:t>
      </w:r>
      <w:r w:rsidR="00F97773">
        <w:t>ader communities as “standards.”</w:t>
      </w:r>
      <w:r>
        <w:t xml:space="preserve"> </w:t>
      </w:r>
      <w:r w:rsidR="00F97773">
        <w:t>Then the team evaluated each of the formats against an agreed-</w:t>
      </w:r>
      <w:r>
        <w:t>upon set of criteria</w:t>
      </w:r>
      <w:r w:rsidR="0068393E">
        <w:t>,</w:t>
      </w:r>
      <w:r w:rsidR="0068393E" w:rsidRPr="0068393E">
        <w:t xml:space="preserve"> </w:t>
      </w:r>
      <w:r w:rsidR="0068393E">
        <w:t>the most important of which are market maturity and ease of discovery</w:t>
      </w:r>
      <w:r>
        <w:t>.</w:t>
      </w:r>
      <w:r w:rsidR="00C674F9">
        <w:t xml:space="preserve"> </w:t>
      </w:r>
      <w:r w:rsidR="0068393E">
        <w:t xml:space="preserve">In addition, the team evaluated the options to </w:t>
      </w:r>
      <w:r w:rsidR="00F97773">
        <w:t xml:space="preserve">determine </w:t>
      </w:r>
      <w:r w:rsidR="0068393E">
        <w:t xml:space="preserve">which ones met four uses cases (i.e., data access, querying, ownership and archiving) that </w:t>
      </w:r>
      <w:r w:rsidR="0068393E" w:rsidRPr="00B338D5">
        <w:t>support EPA, states a</w:t>
      </w:r>
      <w:r w:rsidR="0068393E">
        <w:t>nd Tribes</w:t>
      </w:r>
      <w:r w:rsidR="00F97773">
        <w:t>’</w:t>
      </w:r>
      <w:r w:rsidR="0068393E">
        <w:t xml:space="preserve"> efforts </w:t>
      </w:r>
      <w:r w:rsidR="0068393E" w:rsidRPr="00B338D5">
        <w:t xml:space="preserve">to </w:t>
      </w:r>
      <w:r w:rsidR="0068393E">
        <w:t xml:space="preserve">use continuous monitoring data. </w:t>
      </w:r>
      <w:r>
        <w:t>Based on these criteria, the team made recommendation</w:t>
      </w:r>
      <w:r w:rsidR="00F97773">
        <w:t>s</w:t>
      </w:r>
      <w:r>
        <w:t xml:space="preserve"> </w:t>
      </w:r>
      <w:r w:rsidR="00F97773">
        <w:t xml:space="preserve">about </w:t>
      </w:r>
      <w:r>
        <w:t>which standards would be most appropriate as a common standard across sensors for all media.</w:t>
      </w:r>
      <w:r w:rsidR="001A7253">
        <w:t xml:space="preserve"> </w:t>
      </w:r>
      <w:r w:rsidR="001A7253" w:rsidRPr="008F5C96">
        <w:t xml:space="preserve">No </w:t>
      </w:r>
      <w:r w:rsidR="00D37A97">
        <w:t>single</w:t>
      </w:r>
      <w:r w:rsidR="001A7253" w:rsidRPr="008F5C96">
        <w:t xml:space="preserve"> data standard approach is inherently wrong, and </w:t>
      </w:r>
      <w:proofErr w:type="gramStart"/>
      <w:r w:rsidR="001A7253" w:rsidRPr="008F5C96">
        <w:t>all of</w:t>
      </w:r>
      <w:proofErr w:type="gramEnd"/>
      <w:r w:rsidR="001A7253" w:rsidRPr="008F5C96">
        <w:t xml:space="preserve"> the approaches meet the specific needs for which they were designed. This report should not be read as an evaluation of the overall value of any of the standards.</w:t>
      </w:r>
    </w:p>
    <w:p w14:paraId="289FE835" w14:textId="467959C4" w:rsidR="00592EAF" w:rsidRPr="00F97773" w:rsidRDefault="00AD4FA4">
      <w:r w:rsidRPr="00F97773">
        <w:t xml:space="preserve">Based on this evaluation, the team recommends that agencies use one of two standards: </w:t>
      </w:r>
      <w:proofErr w:type="gramStart"/>
      <w:r w:rsidRPr="00F97773">
        <w:t>the</w:t>
      </w:r>
      <w:proofErr w:type="gramEnd"/>
      <w:r w:rsidRPr="00F97773">
        <w:t xml:space="preserve"> Open Geospatial Consortium (OGC) SensorML/WaterML 2 standard or the NetCDF/CF standard. Both standards meet the criteria and a</w:t>
      </w:r>
      <w:r w:rsidR="00F97773" w:rsidRPr="00F97773">
        <w:t>ll four use cases for data use</w:t>
      </w:r>
      <w:r w:rsidRPr="00F97773">
        <w:t xml:space="preserve">. </w:t>
      </w:r>
      <w:r w:rsidR="00D37A97" w:rsidRPr="00F97773">
        <w:t>Note</w:t>
      </w:r>
      <w:r w:rsidRPr="00F97773">
        <w:t xml:space="preserve"> that these standards may be applicable in some situations but not in others</w:t>
      </w:r>
      <w:r w:rsidR="00E27C65" w:rsidRPr="00F97773">
        <w:t xml:space="preserve">. </w:t>
      </w:r>
      <w:r w:rsidRPr="00F97773">
        <w:t xml:space="preserve">SensorML/WaterML2 does not currently define </w:t>
      </w:r>
      <w:proofErr w:type="gramStart"/>
      <w:r w:rsidRPr="00F97773">
        <w:t>all of</w:t>
      </w:r>
      <w:proofErr w:type="gramEnd"/>
      <w:r w:rsidRPr="00F97773">
        <w:t xml:space="preserve"> the metadata elements necessary to determine data quality and may not be appropriate for archiving data. Further work would need to be done with the OGC to help strengthen the data quality documentation of the standard. NetCDF, however, was developed as an archival standard, with improvements to query capability and </w:t>
      </w:r>
      <w:proofErr w:type="gramStart"/>
      <w:r w:rsidRPr="00F97773">
        <w:t>real time</w:t>
      </w:r>
      <w:proofErr w:type="gramEnd"/>
      <w:r w:rsidRPr="00F97773">
        <w:t xml:space="preserve"> delivery through open source software.  One caution with NetCDF is that due to its open format of ‘self-documenting’ metadata elements, it is a very flexible standard.  Only when NetCDF is combined with CF data profiles can it deliver data and metadata elements in a ‘standard’ way.</w:t>
      </w:r>
      <w:r w:rsidR="00421B03" w:rsidRPr="00F97773">
        <w:t xml:space="preserve"> </w:t>
      </w:r>
      <w:r w:rsidR="007D4BFF" w:rsidRPr="00F97773">
        <w:t>Regardless of the data standard chosen, agencies should keep in mind interoperability of their implemented standard with the other widely used standards identified in this report.</w:t>
      </w:r>
    </w:p>
    <w:p w14:paraId="3319F38E" w14:textId="42E6BAFA" w:rsidR="00726C99" w:rsidRDefault="00726C99" w:rsidP="007E3BD1">
      <w:pPr>
        <w:pStyle w:val="Heading1"/>
      </w:pPr>
      <w:r>
        <w:lastRenderedPageBreak/>
        <w:t>Introduction</w:t>
      </w:r>
    </w:p>
    <w:p w14:paraId="51B3E4D4" w14:textId="1254ABB0" w:rsidR="00C72968" w:rsidRPr="00192D10" w:rsidRDefault="00863508" w:rsidP="00192D10">
      <w:r w:rsidRPr="00192D10">
        <w:t>The Advanced Monitoring Team is a collaborative effort</w:t>
      </w:r>
      <w:r w:rsidR="00954211">
        <w:t xml:space="preserve"> under the E-Enterprise Initiative</w:t>
      </w:r>
      <w:r w:rsidRPr="00192D10">
        <w:t xml:space="preserve"> to understand how to use, communicate, and ensure quality of advanced monitoring data</w:t>
      </w:r>
      <w:r w:rsidR="00F45F03">
        <w:t>, especially continuous monitoring data</w:t>
      </w:r>
      <w:r w:rsidRPr="00192D10">
        <w:t xml:space="preserve">. </w:t>
      </w:r>
      <w:r w:rsidR="00C72968" w:rsidRPr="00192D10">
        <w:t xml:space="preserve">Environmental monitoring technology is rapidly evolving, with major implications for EPA and state environmental programs. New advanced monitoring technologies </w:t>
      </w:r>
      <w:r w:rsidR="00463804">
        <w:t>that</w:t>
      </w:r>
      <w:r w:rsidR="00C72968" w:rsidRPr="00192D10">
        <w:t xml:space="preserve"> are smaller, more portable, and less expensive than traditional methods offer unprecedented opportunities</w:t>
      </w:r>
      <w:r w:rsidR="00463804" w:rsidRPr="00192D10">
        <w:t xml:space="preserve"> to </w:t>
      </w:r>
      <w:r w:rsidR="00292D39">
        <w:t>improve</w:t>
      </w:r>
      <w:r w:rsidR="00292D39" w:rsidRPr="00192D10">
        <w:t xml:space="preserve"> </w:t>
      </w:r>
      <w:r w:rsidR="00C72968" w:rsidRPr="00192D10">
        <w:t xml:space="preserve">environmental protection by </w:t>
      </w:r>
      <w:r w:rsidR="00463804">
        <w:t>enhancing</w:t>
      </w:r>
      <w:r w:rsidR="00C72968" w:rsidRPr="00192D10">
        <w:t xml:space="preserve"> existing monitoring networks and </w:t>
      </w:r>
      <w:r w:rsidR="00463804">
        <w:t xml:space="preserve">our ability </w:t>
      </w:r>
      <w:r w:rsidR="00C72968" w:rsidRPr="00192D10">
        <w:t>to</w:t>
      </w:r>
      <w:r w:rsidR="00463804">
        <w:t xml:space="preserve"> reduce</w:t>
      </w:r>
      <w:r w:rsidR="00C72968" w:rsidRPr="00192D10">
        <w:t xml:space="preserve"> pollution</w:t>
      </w:r>
      <w:r w:rsidR="00463804">
        <w:t>.</w:t>
      </w:r>
      <w:r w:rsidR="00C72968" w:rsidRPr="00192D10">
        <w:t xml:space="preserve"> </w:t>
      </w:r>
      <w:r w:rsidR="00954211">
        <w:t>The</w:t>
      </w:r>
      <w:r w:rsidR="00954211" w:rsidRPr="00192D10">
        <w:t xml:space="preserve"> </w:t>
      </w:r>
      <w:r w:rsidR="00C72968" w:rsidRPr="00192D10">
        <w:t>collective community must proactively har</w:t>
      </w:r>
      <w:r w:rsidR="00463804" w:rsidRPr="00192D10">
        <w:t xml:space="preserve">ness and take advantage of </w:t>
      </w:r>
      <w:r w:rsidR="00C72968" w:rsidRPr="00192D10">
        <w:t>benefits</w:t>
      </w:r>
      <w:r w:rsidR="00463804">
        <w:t xml:space="preserve"> from these sensors</w:t>
      </w:r>
      <w:r w:rsidR="00C72968" w:rsidRPr="00192D10">
        <w:t xml:space="preserve"> or risk losing the opportunity to shape h</w:t>
      </w:r>
      <w:r w:rsidR="00463804" w:rsidRPr="00192D10">
        <w:t>ow the</w:t>
      </w:r>
      <w:r w:rsidR="00C72968" w:rsidRPr="00192D10">
        <w:t xml:space="preserve"> new technologies are applied.</w:t>
      </w:r>
    </w:p>
    <w:p w14:paraId="76A21568" w14:textId="491EA626" w:rsidR="0067670E" w:rsidRDefault="00CB5153" w:rsidP="00192D10">
      <w:r w:rsidRPr="00192D10">
        <w:t>T</w:t>
      </w:r>
      <w:r w:rsidR="00C72968" w:rsidRPr="00192D10">
        <w:t xml:space="preserve">he rapid evolution of monitoring technology presents </w:t>
      </w:r>
      <w:r w:rsidR="0067670E">
        <w:t xml:space="preserve">a </w:t>
      </w:r>
      <w:r w:rsidR="0067670E" w:rsidRPr="00192D10">
        <w:t>challenge</w:t>
      </w:r>
      <w:r w:rsidR="00C72968" w:rsidRPr="00192D10">
        <w:t xml:space="preserve"> to government agencies, the public, and the regulated community because</w:t>
      </w:r>
      <w:r w:rsidR="00463804">
        <w:t xml:space="preserve"> of the </w:t>
      </w:r>
      <w:r w:rsidR="0067670E">
        <w:t xml:space="preserve">disparate structure and amount of data produced by continuous sensors versus traditional discrete style of sampling. </w:t>
      </w:r>
      <w:r w:rsidR="0067670E" w:rsidRPr="00D670B2">
        <w:t>While previous attempts by various groups (NWQMC</w:t>
      </w:r>
      <w:r w:rsidR="00F97773">
        <w:t>,</w:t>
      </w:r>
      <w:r w:rsidR="0067670E" w:rsidRPr="00D670B2">
        <w:t xml:space="preserve"> 2006) have been made to standardize data generated via discrete sampling, to date, standards for continuous data have not been proposed</w:t>
      </w:r>
      <w:r w:rsidR="0067670E">
        <w:t xml:space="preserve">. Without a standard way of interacting with and storing </w:t>
      </w:r>
      <w:r w:rsidR="00951034">
        <w:t>continuous</w:t>
      </w:r>
      <w:r w:rsidR="0067670E">
        <w:t xml:space="preserve"> data, the possibility of having </w:t>
      </w:r>
      <w:r w:rsidR="00954211">
        <w:t>multiple incompatible</w:t>
      </w:r>
      <w:r w:rsidR="0067670E">
        <w:t xml:space="preserve"> approaches </w:t>
      </w:r>
      <w:r w:rsidR="00E9583E">
        <w:t xml:space="preserve">for </w:t>
      </w:r>
      <w:r w:rsidR="00954211">
        <w:t xml:space="preserve">publishing </w:t>
      </w:r>
      <w:r w:rsidR="00E9583E">
        <w:t xml:space="preserve">these </w:t>
      </w:r>
      <w:r w:rsidR="00954211">
        <w:t>data</w:t>
      </w:r>
      <w:r w:rsidR="0067670E">
        <w:t xml:space="preserve"> is very real.</w:t>
      </w:r>
      <w:r w:rsidRPr="00192D10">
        <w:t xml:space="preserve"> </w:t>
      </w:r>
      <w:r w:rsidR="00500C74" w:rsidRPr="00D670B2">
        <w:t>Th</w:t>
      </w:r>
      <w:r w:rsidR="0067670E">
        <w:t>is</w:t>
      </w:r>
      <w:r w:rsidR="00500C74" w:rsidRPr="00D670B2">
        <w:t xml:space="preserve"> situation does not lend itself well to interoperability</w:t>
      </w:r>
      <w:r w:rsidR="0067670E">
        <w:t>, and poor</w:t>
      </w:r>
      <w:r w:rsidR="00500C74" w:rsidRPr="00D670B2">
        <w:t xml:space="preserve"> data management and </w:t>
      </w:r>
      <w:r w:rsidR="00E9583E">
        <w:t xml:space="preserve">poor </w:t>
      </w:r>
      <w:r w:rsidR="00500C74" w:rsidRPr="00D670B2">
        <w:t>communication</w:t>
      </w:r>
      <w:r w:rsidR="00E9583E">
        <w:t>,</w:t>
      </w:r>
      <w:r w:rsidR="00500C74" w:rsidRPr="00D670B2">
        <w:t xml:space="preserve"> due to la</w:t>
      </w:r>
      <w:r w:rsidR="0067670E">
        <w:t>ck of standards</w:t>
      </w:r>
      <w:r w:rsidR="00E9583E">
        <w:t>,</w:t>
      </w:r>
      <w:r w:rsidR="0067670E">
        <w:t xml:space="preserve"> </w:t>
      </w:r>
      <w:r w:rsidR="00E9583E">
        <w:t xml:space="preserve">can </w:t>
      </w:r>
      <w:r w:rsidR="0067670E">
        <w:t>mean</w:t>
      </w:r>
      <w:r w:rsidR="00500C74" w:rsidRPr="00D670B2">
        <w:t xml:space="preserve"> that a lot of opportunities for sharing data and using </w:t>
      </w:r>
      <w:r w:rsidR="00E9583E">
        <w:t>that data</w:t>
      </w:r>
      <w:r w:rsidR="00500C74" w:rsidRPr="00D670B2">
        <w:t xml:space="preserve"> for secondary purposes </w:t>
      </w:r>
      <w:r w:rsidR="00E9583E">
        <w:t>will be</w:t>
      </w:r>
      <w:r w:rsidR="00E9583E" w:rsidRPr="00D670B2">
        <w:t xml:space="preserve"> </w:t>
      </w:r>
      <w:r w:rsidR="00500C74" w:rsidRPr="00D670B2">
        <w:t>missed</w:t>
      </w:r>
      <w:r w:rsidR="00500C74">
        <w:t>.</w:t>
      </w:r>
      <w:r w:rsidR="00C674F9">
        <w:t xml:space="preserve"> </w:t>
      </w:r>
    </w:p>
    <w:p w14:paraId="3B07014D" w14:textId="68549EC0" w:rsidR="006818C7" w:rsidRPr="00A21B87" w:rsidRDefault="0067670E">
      <w:pPr>
        <w:rPr>
          <w:rFonts w:eastAsia="Verdana"/>
          <w:color w:val="000000" w:themeColor="text1"/>
        </w:rPr>
      </w:pPr>
      <w:r w:rsidRPr="00385831">
        <w:t xml:space="preserve">Team 4 </w:t>
      </w:r>
      <w:r>
        <w:t xml:space="preserve">has been tasked </w:t>
      </w:r>
      <w:r w:rsidR="00954211">
        <w:t>with reviewing existing</w:t>
      </w:r>
      <w:r w:rsidRPr="00385831">
        <w:t xml:space="preserve"> data standards defining the representation, format, definition, structure, transmission, and management of data.</w:t>
      </w:r>
      <w:r w:rsidR="00C674F9">
        <w:t xml:space="preserve"> </w:t>
      </w:r>
      <w:r w:rsidR="00954211">
        <w:t>The</w:t>
      </w:r>
      <w:r w:rsidR="000618EE">
        <w:t xml:space="preserve"> team was composed of EPA state and regional partners as well as individuals within EPA and across multiple programs, i.e. Air and Water.  The team identified</w:t>
      </w:r>
      <w:r w:rsidR="00954211">
        <w:t xml:space="preserve"> many existing data formats use</w:t>
      </w:r>
      <w:r w:rsidR="000618EE">
        <w:t>d</w:t>
      </w:r>
      <w:r w:rsidR="00954211">
        <w:t xml:space="preserve"> in both the public and private sector</w:t>
      </w:r>
      <w:r w:rsidR="000618EE">
        <w:t xml:space="preserve"> for review</w:t>
      </w:r>
      <w:r w:rsidR="00954211">
        <w:t>.</w:t>
      </w:r>
      <w:r w:rsidR="00C674F9">
        <w:t xml:space="preserve"> </w:t>
      </w:r>
      <w:r w:rsidR="00954211">
        <w:t>The Team explored these formats (some of which have been adopted by broader communities as ‘standards’) and evaluated each of these formats against an agreed upon set of criteria.</w:t>
      </w:r>
      <w:r w:rsidR="00C674F9">
        <w:t xml:space="preserve"> </w:t>
      </w:r>
      <w:r w:rsidR="0004331D">
        <w:t>Based on these criteria, the team has also made a recommendation as to which of these standards would be the most appropriate to target as a common standard across sensors for all media.</w:t>
      </w:r>
      <w:r w:rsidR="00C674F9">
        <w:t xml:space="preserve"> </w:t>
      </w:r>
      <w:r w:rsidR="0004331D">
        <w:t xml:space="preserve">Many existing data platforms exist, and this report should not be read as to mean that those systems need to change </w:t>
      </w:r>
      <w:proofErr w:type="gramStart"/>
      <w:r w:rsidR="0004331D">
        <w:t>in order to</w:t>
      </w:r>
      <w:proofErr w:type="gramEnd"/>
      <w:r w:rsidR="0004331D">
        <w:t xml:space="preserve"> adopt these recommended standards, but rather should identify ways to incorporate these standards into their data sharing approaches.</w:t>
      </w:r>
      <w:r w:rsidR="00C674F9">
        <w:t xml:space="preserve"> </w:t>
      </w:r>
      <w:r w:rsidR="00872D6B">
        <w:t>T</w:t>
      </w:r>
      <w:r w:rsidR="00CB5153" w:rsidRPr="00872D6B">
        <w:t xml:space="preserve">his report </w:t>
      </w:r>
      <w:r w:rsidR="0004331D">
        <w:t>is the first of three reports.</w:t>
      </w:r>
      <w:r w:rsidR="00C674F9">
        <w:t xml:space="preserve"> </w:t>
      </w:r>
      <w:r w:rsidR="0004331D">
        <w:t>This report focuses on</w:t>
      </w:r>
      <w:r w:rsidR="001A737C">
        <w:t xml:space="preserve"> data</w:t>
      </w:r>
      <w:r w:rsidR="0004331D">
        <w:t xml:space="preserve"> </w:t>
      </w:r>
      <w:r w:rsidR="001A737C">
        <w:t xml:space="preserve">standards and </w:t>
      </w:r>
      <w:r w:rsidR="0004331D">
        <w:t xml:space="preserve">the </w:t>
      </w:r>
      <w:r w:rsidR="001A737C">
        <w:t xml:space="preserve">related </w:t>
      </w:r>
      <w:r w:rsidR="0004331D">
        <w:t>core data elements</w:t>
      </w:r>
      <w:r w:rsidR="001A737C">
        <w:t>.</w:t>
      </w:r>
      <w:r w:rsidR="00C674F9">
        <w:t xml:space="preserve"> </w:t>
      </w:r>
      <w:r w:rsidR="0004331D">
        <w:t xml:space="preserve">Subsequent reports will focus on the </w:t>
      </w:r>
      <w:r w:rsidR="001A737C">
        <w:t xml:space="preserve">architecture of an interoperable sensor network and the </w:t>
      </w:r>
      <w:r w:rsidR="0004331D">
        <w:t>metadata needed to identify the quality of the data.</w:t>
      </w:r>
    </w:p>
    <w:p w14:paraId="5F04045A" w14:textId="170663EC" w:rsidR="00DC22BF" w:rsidRDefault="00DC22BF" w:rsidP="00AF1554">
      <w:pPr>
        <w:pStyle w:val="Heading2"/>
        <w:rPr>
          <w:rStyle w:val="normaltextrun"/>
          <w:rFonts w:asciiTheme="minorHAnsi" w:eastAsiaTheme="minorEastAsia" w:hAnsiTheme="minorHAnsi" w:cstheme="minorBidi"/>
          <w:b/>
          <w:sz w:val="22"/>
          <w:szCs w:val="22"/>
        </w:rPr>
      </w:pPr>
      <w:r w:rsidRPr="007E3BD1">
        <w:t xml:space="preserve">What </w:t>
      </w:r>
      <w:r>
        <w:t>are</w:t>
      </w:r>
      <w:r w:rsidRPr="007E3BD1">
        <w:t xml:space="preserve"> </w:t>
      </w:r>
      <w:r w:rsidR="00B452CC">
        <w:t xml:space="preserve">data </w:t>
      </w:r>
      <w:r w:rsidRPr="007E3BD1">
        <w:t>standard</w:t>
      </w:r>
      <w:r>
        <w:t>s?</w:t>
      </w:r>
    </w:p>
    <w:p w14:paraId="3827D94C" w14:textId="32EF4E57" w:rsidR="00DC22BF" w:rsidRPr="00A21B87" w:rsidRDefault="00DC22BF" w:rsidP="00A21B87">
      <w:pPr>
        <w:pStyle w:val="paragraph"/>
        <w:spacing w:before="0" w:beforeAutospacing="0" w:after="0" w:afterAutospacing="0"/>
        <w:textAlignment w:val="baseline"/>
        <w:rPr>
          <w:rStyle w:val="normaltextrun"/>
          <w:rFonts w:asciiTheme="minorHAnsi" w:eastAsiaTheme="minorEastAsia" w:hAnsiTheme="minorHAnsi" w:cstheme="minorBidi"/>
          <w:sz w:val="22"/>
          <w:szCs w:val="22"/>
        </w:rPr>
      </w:pPr>
      <w:r w:rsidRPr="4AC4243B">
        <w:rPr>
          <w:rStyle w:val="normaltextrun"/>
          <w:rFonts w:asciiTheme="minorHAnsi" w:eastAsiaTheme="minorEastAsia" w:hAnsiTheme="minorHAnsi" w:cstheme="minorBidi"/>
          <w:sz w:val="22"/>
          <w:szCs w:val="22"/>
        </w:rPr>
        <w:t xml:space="preserve">“Data standards are the rules by which data are described and recorded. </w:t>
      </w:r>
      <w:proofErr w:type="gramStart"/>
      <w:r w:rsidRPr="4AC4243B">
        <w:rPr>
          <w:rStyle w:val="normaltextrun"/>
          <w:rFonts w:asciiTheme="minorHAnsi" w:eastAsiaTheme="minorEastAsia" w:hAnsiTheme="minorHAnsi" w:cstheme="minorBidi"/>
          <w:sz w:val="22"/>
          <w:szCs w:val="22"/>
        </w:rPr>
        <w:t>In order to</w:t>
      </w:r>
      <w:proofErr w:type="gramEnd"/>
      <w:r w:rsidRPr="4AC4243B">
        <w:rPr>
          <w:rStyle w:val="normaltextrun"/>
          <w:rFonts w:asciiTheme="minorHAnsi" w:eastAsiaTheme="minorEastAsia" w:hAnsiTheme="minorHAnsi" w:cstheme="minorBidi"/>
          <w:sz w:val="22"/>
          <w:szCs w:val="22"/>
        </w:rPr>
        <w:t xml:space="preserve"> share, exchange, and understand data, we must standardize the format as well as the meaning” </w:t>
      </w:r>
      <w:sdt>
        <w:sdtPr>
          <w:rPr>
            <w:rStyle w:val="normaltextrun"/>
            <w:rFonts w:asciiTheme="minorHAnsi" w:eastAsiaTheme="minorEastAsia" w:hAnsiTheme="minorHAnsi" w:cstheme="minorBidi"/>
            <w:bCs/>
            <w:sz w:val="22"/>
            <w:szCs w:val="22"/>
          </w:rPr>
          <w:id w:val="-203795122"/>
          <w:citation/>
        </w:sdtPr>
        <w:sdtContent>
          <w:r>
            <w:rPr>
              <w:rStyle w:val="normaltextrun"/>
              <w:rFonts w:asciiTheme="minorHAnsi" w:eastAsiaTheme="minorEastAsia" w:hAnsiTheme="minorHAnsi" w:cstheme="minorBidi"/>
              <w:bCs/>
              <w:sz w:val="22"/>
              <w:szCs w:val="22"/>
            </w:rPr>
            <w:fldChar w:fldCharType="begin"/>
          </w:r>
          <w:r>
            <w:rPr>
              <w:rStyle w:val="normaltextrun"/>
              <w:rFonts w:asciiTheme="minorHAnsi" w:eastAsiaTheme="minorEastAsia" w:hAnsiTheme="minorHAnsi" w:cstheme="minorBidi"/>
              <w:bCs/>
              <w:sz w:val="22"/>
              <w:szCs w:val="22"/>
            </w:rPr>
            <w:instrText xml:space="preserve"> CITATION USG17 \l 1033 </w:instrText>
          </w:r>
          <w:r>
            <w:rPr>
              <w:rStyle w:val="normaltextrun"/>
              <w:rFonts w:asciiTheme="minorHAnsi" w:eastAsiaTheme="minorEastAsia" w:hAnsiTheme="minorHAnsi" w:cstheme="minorBidi"/>
              <w:bCs/>
              <w:sz w:val="22"/>
              <w:szCs w:val="22"/>
            </w:rPr>
            <w:fldChar w:fldCharType="separate"/>
          </w:r>
          <w:r w:rsidRPr="00AD0DE1">
            <w:rPr>
              <w:rFonts w:asciiTheme="minorHAnsi" w:eastAsiaTheme="minorEastAsia" w:hAnsiTheme="minorHAnsi" w:cstheme="minorBidi"/>
              <w:noProof/>
              <w:sz w:val="22"/>
              <w:szCs w:val="22"/>
            </w:rPr>
            <w:t>(USGS, 2017)</w:t>
          </w:r>
          <w:r>
            <w:rPr>
              <w:rStyle w:val="normaltextrun"/>
              <w:rFonts w:asciiTheme="minorHAnsi" w:eastAsiaTheme="minorEastAsia" w:hAnsiTheme="minorHAnsi" w:cstheme="minorBidi"/>
              <w:bCs/>
              <w:sz w:val="22"/>
              <w:szCs w:val="22"/>
            </w:rPr>
            <w:fldChar w:fldCharType="end"/>
          </w:r>
        </w:sdtContent>
      </w:sdt>
      <w:r w:rsidRPr="4AC4243B">
        <w:rPr>
          <w:rStyle w:val="normaltextrun"/>
          <w:rFonts w:asciiTheme="minorHAnsi" w:eastAsiaTheme="minorEastAsia" w:hAnsiTheme="minorHAnsi" w:cstheme="minorBidi"/>
          <w:sz w:val="22"/>
          <w:szCs w:val="22"/>
        </w:rPr>
        <w:t>.</w:t>
      </w:r>
      <w:r w:rsidR="00C674F9" w:rsidRPr="4AC4243B">
        <w:rPr>
          <w:rStyle w:val="normaltextrun"/>
          <w:rFonts w:asciiTheme="minorHAnsi" w:eastAsiaTheme="minorEastAsia" w:hAnsiTheme="minorHAnsi" w:cstheme="minorBidi"/>
          <w:sz w:val="22"/>
          <w:szCs w:val="22"/>
        </w:rPr>
        <w:t xml:space="preserve"> </w:t>
      </w:r>
      <w:r w:rsidRPr="4AC4243B">
        <w:rPr>
          <w:rStyle w:val="normaltextrun"/>
          <w:rFonts w:asciiTheme="minorHAnsi" w:eastAsiaTheme="minorEastAsia" w:hAnsiTheme="minorHAnsi" w:cstheme="minorBidi"/>
          <w:sz w:val="22"/>
          <w:szCs w:val="22"/>
        </w:rPr>
        <w:t>A data standard enables different entities to be able to communicate information between one-another without having to first process or reformat the data.</w:t>
      </w:r>
      <w:r w:rsidR="00C674F9" w:rsidRPr="4AC4243B">
        <w:rPr>
          <w:rStyle w:val="normaltextrun"/>
          <w:rFonts w:asciiTheme="minorHAnsi" w:eastAsiaTheme="minorEastAsia" w:hAnsiTheme="minorHAnsi" w:cstheme="minorBidi"/>
          <w:sz w:val="22"/>
          <w:szCs w:val="22"/>
        </w:rPr>
        <w:t xml:space="preserve"> </w:t>
      </w:r>
      <w:r w:rsidRPr="4AC4243B">
        <w:rPr>
          <w:rStyle w:val="normaltextrun"/>
          <w:rFonts w:asciiTheme="minorHAnsi" w:eastAsiaTheme="minorEastAsia" w:hAnsiTheme="minorHAnsi" w:cstheme="minorBidi"/>
          <w:sz w:val="22"/>
          <w:szCs w:val="22"/>
        </w:rPr>
        <w:t>There are multiple examples of data standards in use throughout the public and private sectors, as well as existing entities that focus exclusively on defining, promoting, and testing these standards.</w:t>
      </w:r>
      <w:r w:rsidR="00C674F9" w:rsidRPr="4AC4243B">
        <w:rPr>
          <w:rStyle w:val="normaltextrun"/>
          <w:rFonts w:asciiTheme="minorHAnsi" w:eastAsiaTheme="minorEastAsia" w:hAnsiTheme="minorHAnsi" w:cstheme="minorBidi"/>
          <w:sz w:val="22"/>
          <w:szCs w:val="22"/>
        </w:rPr>
        <w:t xml:space="preserve"> </w:t>
      </w:r>
      <w:r w:rsidRPr="4AC4243B">
        <w:rPr>
          <w:rStyle w:val="normaltextrun"/>
          <w:rFonts w:asciiTheme="minorHAnsi" w:eastAsiaTheme="minorEastAsia" w:hAnsiTheme="minorHAnsi" w:cstheme="minorBidi"/>
          <w:sz w:val="22"/>
          <w:szCs w:val="22"/>
        </w:rPr>
        <w:t>For example, the banking sector has the Open Financial Exchange Standard which defines standard data formats and standard exchange protocols for exchang</w:t>
      </w:r>
      <w:r w:rsidR="003C704E" w:rsidRPr="4AC4243B">
        <w:rPr>
          <w:rStyle w:val="normaltextrun"/>
          <w:rFonts w:asciiTheme="minorHAnsi" w:eastAsiaTheme="minorEastAsia" w:hAnsiTheme="minorHAnsi" w:cstheme="minorBidi"/>
          <w:sz w:val="22"/>
          <w:szCs w:val="22"/>
        </w:rPr>
        <w:t>ing</w:t>
      </w:r>
      <w:r w:rsidRPr="4AC4243B">
        <w:rPr>
          <w:rStyle w:val="normaltextrun"/>
          <w:rFonts w:asciiTheme="minorHAnsi" w:eastAsiaTheme="minorEastAsia" w:hAnsiTheme="minorHAnsi" w:cstheme="minorBidi"/>
          <w:sz w:val="22"/>
          <w:szCs w:val="22"/>
        </w:rPr>
        <w:t xml:space="preserve"> financial information between financial institutions and financial applications</w:t>
      </w:r>
      <w:sdt>
        <w:sdtPr>
          <w:rPr>
            <w:rStyle w:val="normaltextrun"/>
            <w:rFonts w:asciiTheme="minorHAnsi" w:eastAsiaTheme="minorEastAsia" w:hAnsiTheme="minorHAnsi" w:cstheme="minorBidi"/>
            <w:bCs/>
            <w:sz w:val="22"/>
            <w:szCs w:val="22"/>
          </w:rPr>
          <w:id w:val="-168717369"/>
          <w:citation/>
        </w:sdtPr>
        <w:sdtContent>
          <w:r>
            <w:rPr>
              <w:rStyle w:val="normaltextrun"/>
              <w:rFonts w:asciiTheme="minorHAnsi" w:eastAsiaTheme="minorEastAsia" w:hAnsiTheme="minorHAnsi" w:cstheme="minorBidi"/>
              <w:bCs/>
              <w:sz w:val="22"/>
              <w:szCs w:val="22"/>
            </w:rPr>
            <w:fldChar w:fldCharType="begin"/>
          </w:r>
          <w:r>
            <w:rPr>
              <w:rStyle w:val="normaltextrun"/>
              <w:rFonts w:asciiTheme="minorHAnsi" w:eastAsiaTheme="minorEastAsia" w:hAnsiTheme="minorHAnsi" w:cstheme="minorBidi"/>
              <w:bCs/>
              <w:sz w:val="22"/>
              <w:szCs w:val="22"/>
            </w:rPr>
            <w:instrText xml:space="preserve"> CITATION OFX17 \l 1033 </w:instrText>
          </w:r>
          <w:r>
            <w:rPr>
              <w:rStyle w:val="normaltextrun"/>
              <w:rFonts w:asciiTheme="minorHAnsi" w:eastAsiaTheme="minorEastAsia" w:hAnsiTheme="minorHAnsi" w:cstheme="minorBidi"/>
              <w:bCs/>
              <w:sz w:val="22"/>
              <w:szCs w:val="22"/>
            </w:rPr>
            <w:fldChar w:fldCharType="separate"/>
          </w:r>
          <w:r>
            <w:rPr>
              <w:rStyle w:val="normaltextrun"/>
              <w:rFonts w:asciiTheme="minorHAnsi" w:eastAsiaTheme="minorEastAsia" w:hAnsiTheme="minorHAnsi" w:cstheme="minorBidi"/>
              <w:bCs/>
              <w:noProof/>
              <w:sz w:val="22"/>
              <w:szCs w:val="22"/>
            </w:rPr>
            <w:t xml:space="preserve"> </w:t>
          </w:r>
          <w:r w:rsidRPr="00AD0DE1">
            <w:rPr>
              <w:rFonts w:asciiTheme="minorHAnsi" w:eastAsiaTheme="minorEastAsia" w:hAnsiTheme="minorHAnsi" w:cstheme="minorBidi"/>
              <w:noProof/>
              <w:sz w:val="22"/>
              <w:szCs w:val="22"/>
            </w:rPr>
            <w:t>(OFX, 2017)</w:t>
          </w:r>
          <w:r>
            <w:rPr>
              <w:rStyle w:val="normaltextrun"/>
              <w:rFonts w:asciiTheme="minorHAnsi" w:eastAsiaTheme="minorEastAsia" w:hAnsiTheme="minorHAnsi" w:cstheme="minorBidi"/>
              <w:bCs/>
              <w:sz w:val="22"/>
              <w:szCs w:val="22"/>
            </w:rPr>
            <w:fldChar w:fldCharType="end"/>
          </w:r>
        </w:sdtContent>
      </w:sdt>
      <w:r w:rsidRPr="4AC4243B">
        <w:rPr>
          <w:rStyle w:val="normaltextrun"/>
          <w:rFonts w:asciiTheme="minorHAnsi" w:eastAsiaTheme="minorEastAsia" w:hAnsiTheme="minorHAnsi" w:cstheme="minorBidi"/>
          <w:sz w:val="22"/>
          <w:szCs w:val="22"/>
        </w:rPr>
        <w:t>.</w:t>
      </w:r>
      <w:r w:rsidR="00C674F9" w:rsidRPr="4AC4243B">
        <w:rPr>
          <w:rStyle w:val="normaltextrun"/>
          <w:rFonts w:asciiTheme="minorHAnsi" w:eastAsiaTheme="minorEastAsia" w:hAnsiTheme="minorHAnsi" w:cstheme="minorBidi"/>
          <w:sz w:val="22"/>
          <w:szCs w:val="22"/>
        </w:rPr>
        <w:t xml:space="preserve"> </w:t>
      </w:r>
      <w:r w:rsidRPr="4AC4243B">
        <w:rPr>
          <w:rStyle w:val="normaltextrun"/>
          <w:rFonts w:asciiTheme="minorHAnsi" w:eastAsiaTheme="minorEastAsia" w:hAnsiTheme="minorHAnsi" w:cstheme="minorBidi"/>
          <w:sz w:val="22"/>
          <w:szCs w:val="22"/>
        </w:rPr>
        <w:t>The existence of this standard enables people to do online banking and balance their accounts from the convenience of their favorite banking software.</w:t>
      </w:r>
      <w:r w:rsidR="00C674F9" w:rsidRPr="4AC4243B">
        <w:rPr>
          <w:rStyle w:val="normaltextrun"/>
          <w:rFonts w:asciiTheme="minorHAnsi" w:eastAsiaTheme="minorEastAsia" w:hAnsiTheme="minorHAnsi" w:cstheme="minorBidi"/>
          <w:sz w:val="22"/>
          <w:szCs w:val="22"/>
        </w:rPr>
        <w:t xml:space="preserve"> </w:t>
      </w:r>
      <w:r w:rsidRPr="4AC4243B">
        <w:rPr>
          <w:rStyle w:val="normaltextrun"/>
          <w:rFonts w:asciiTheme="minorHAnsi" w:eastAsiaTheme="minorEastAsia" w:hAnsiTheme="minorHAnsi" w:cstheme="minorBidi"/>
          <w:sz w:val="22"/>
          <w:szCs w:val="22"/>
        </w:rPr>
        <w:t>Without the OFX standard, a user would need to go to a bank’s website, log in, download their financial transaction information, reformat that information to meet their software’s specification, and then finally load that data into their software.</w:t>
      </w:r>
      <w:r w:rsidR="00C674F9" w:rsidRPr="4AC4243B">
        <w:rPr>
          <w:rStyle w:val="normaltextrun"/>
          <w:rFonts w:asciiTheme="minorHAnsi" w:eastAsiaTheme="minorEastAsia" w:hAnsiTheme="minorHAnsi" w:cstheme="minorBidi"/>
          <w:sz w:val="22"/>
          <w:szCs w:val="22"/>
        </w:rPr>
        <w:t xml:space="preserve"> </w:t>
      </w:r>
      <w:r w:rsidRPr="4AC4243B">
        <w:rPr>
          <w:rStyle w:val="normaltextrun"/>
          <w:rFonts w:asciiTheme="minorHAnsi" w:eastAsiaTheme="minorEastAsia" w:hAnsiTheme="minorHAnsi" w:cstheme="minorBidi"/>
          <w:sz w:val="22"/>
          <w:szCs w:val="22"/>
        </w:rPr>
        <w:t xml:space="preserve"> With the OFX standard, this is a one-step process.</w:t>
      </w:r>
      <w:r w:rsidR="00C674F9" w:rsidRPr="4AC4243B">
        <w:rPr>
          <w:rStyle w:val="normaltextrun"/>
          <w:rFonts w:asciiTheme="minorHAnsi" w:eastAsiaTheme="minorEastAsia" w:hAnsiTheme="minorHAnsi" w:cstheme="minorBidi"/>
          <w:sz w:val="22"/>
          <w:szCs w:val="22"/>
        </w:rPr>
        <w:t xml:space="preserve"> </w:t>
      </w:r>
      <w:r w:rsidRPr="4AC4243B">
        <w:rPr>
          <w:rStyle w:val="normaltextrun"/>
          <w:rFonts w:asciiTheme="minorHAnsi" w:eastAsiaTheme="minorEastAsia" w:hAnsiTheme="minorHAnsi" w:cstheme="minorBidi"/>
          <w:sz w:val="22"/>
          <w:szCs w:val="22"/>
        </w:rPr>
        <w:t xml:space="preserve">Another example of a standard is the </w:t>
      </w:r>
      <w:r w:rsidRPr="4AC4243B">
        <w:rPr>
          <w:rStyle w:val="normaltextrun"/>
          <w:rFonts w:asciiTheme="minorHAnsi" w:eastAsiaTheme="minorEastAsia" w:hAnsiTheme="minorHAnsi" w:cstheme="minorBidi"/>
          <w:sz w:val="22"/>
          <w:szCs w:val="22"/>
        </w:rPr>
        <w:lastRenderedPageBreak/>
        <w:t>Internal Revenue Service’s e-file standard</w:t>
      </w:r>
      <w:sdt>
        <w:sdtPr>
          <w:rPr>
            <w:rStyle w:val="normaltextrun"/>
            <w:rFonts w:asciiTheme="minorHAnsi" w:eastAsiaTheme="minorEastAsia" w:hAnsiTheme="minorHAnsi" w:cstheme="minorBidi"/>
            <w:bCs/>
            <w:sz w:val="22"/>
            <w:szCs w:val="22"/>
          </w:rPr>
          <w:id w:val="-1839534240"/>
          <w:citation/>
        </w:sdtPr>
        <w:sdtContent>
          <w:r>
            <w:rPr>
              <w:rStyle w:val="normaltextrun"/>
              <w:rFonts w:asciiTheme="minorHAnsi" w:eastAsiaTheme="minorEastAsia" w:hAnsiTheme="minorHAnsi" w:cstheme="minorBidi"/>
              <w:bCs/>
              <w:sz w:val="22"/>
              <w:szCs w:val="22"/>
            </w:rPr>
            <w:fldChar w:fldCharType="begin"/>
          </w:r>
          <w:r>
            <w:rPr>
              <w:rStyle w:val="normaltextrun"/>
              <w:rFonts w:asciiTheme="minorHAnsi" w:eastAsiaTheme="minorEastAsia" w:hAnsiTheme="minorHAnsi" w:cstheme="minorBidi"/>
              <w:bCs/>
              <w:sz w:val="22"/>
              <w:szCs w:val="22"/>
            </w:rPr>
            <w:instrText xml:space="preserve"> CITATION IRS17 \l 1033 </w:instrText>
          </w:r>
          <w:r>
            <w:rPr>
              <w:rStyle w:val="normaltextrun"/>
              <w:rFonts w:asciiTheme="minorHAnsi" w:eastAsiaTheme="minorEastAsia" w:hAnsiTheme="minorHAnsi" w:cstheme="minorBidi"/>
              <w:bCs/>
              <w:sz w:val="22"/>
              <w:szCs w:val="22"/>
            </w:rPr>
            <w:fldChar w:fldCharType="separate"/>
          </w:r>
          <w:r>
            <w:rPr>
              <w:rStyle w:val="normaltextrun"/>
              <w:rFonts w:asciiTheme="minorHAnsi" w:eastAsiaTheme="minorEastAsia" w:hAnsiTheme="minorHAnsi" w:cstheme="minorBidi"/>
              <w:bCs/>
              <w:noProof/>
              <w:sz w:val="22"/>
              <w:szCs w:val="22"/>
            </w:rPr>
            <w:t xml:space="preserve"> </w:t>
          </w:r>
          <w:r w:rsidRPr="00AD0DE1">
            <w:rPr>
              <w:rFonts w:asciiTheme="minorHAnsi" w:eastAsiaTheme="minorEastAsia" w:hAnsiTheme="minorHAnsi" w:cstheme="minorBidi"/>
              <w:noProof/>
              <w:sz w:val="22"/>
              <w:szCs w:val="22"/>
            </w:rPr>
            <w:t>(IRS, 2017)</w:t>
          </w:r>
          <w:r>
            <w:rPr>
              <w:rStyle w:val="normaltextrun"/>
              <w:rFonts w:asciiTheme="minorHAnsi" w:eastAsiaTheme="minorEastAsia" w:hAnsiTheme="minorHAnsi" w:cstheme="minorBidi"/>
              <w:bCs/>
              <w:sz w:val="22"/>
              <w:szCs w:val="22"/>
            </w:rPr>
            <w:fldChar w:fldCharType="end"/>
          </w:r>
        </w:sdtContent>
      </w:sdt>
      <w:r w:rsidRPr="4AC4243B">
        <w:rPr>
          <w:rStyle w:val="normaltextrun"/>
          <w:rFonts w:asciiTheme="minorHAnsi" w:eastAsiaTheme="minorEastAsia" w:hAnsiTheme="minorHAnsi" w:cstheme="minorBidi"/>
          <w:sz w:val="22"/>
          <w:szCs w:val="22"/>
        </w:rPr>
        <w:t>.</w:t>
      </w:r>
      <w:r w:rsidR="00C674F9" w:rsidRPr="4AC4243B">
        <w:rPr>
          <w:rStyle w:val="normaltextrun"/>
          <w:rFonts w:asciiTheme="minorHAnsi" w:eastAsiaTheme="minorEastAsia" w:hAnsiTheme="minorHAnsi" w:cstheme="minorBidi"/>
          <w:sz w:val="22"/>
          <w:szCs w:val="22"/>
        </w:rPr>
        <w:t xml:space="preserve"> </w:t>
      </w:r>
      <w:r w:rsidRPr="4AC4243B">
        <w:rPr>
          <w:rStyle w:val="normaltextrun"/>
          <w:rFonts w:asciiTheme="minorHAnsi" w:eastAsiaTheme="minorEastAsia" w:hAnsiTheme="minorHAnsi" w:cstheme="minorBidi"/>
          <w:sz w:val="22"/>
          <w:szCs w:val="22"/>
        </w:rPr>
        <w:t>This standard is a government-defined standard that describes the data and the rules around that data that would enable an individual to electronically file their tax returns.</w:t>
      </w:r>
      <w:r w:rsidR="00C674F9" w:rsidRPr="4AC4243B">
        <w:rPr>
          <w:rStyle w:val="normaltextrun"/>
          <w:rFonts w:asciiTheme="minorHAnsi" w:eastAsiaTheme="minorEastAsia" w:hAnsiTheme="minorHAnsi" w:cstheme="minorBidi"/>
          <w:sz w:val="22"/>
          <w:szCs w:val="22"/>
        </w:rPr>
        <w:t xml:space="preserve"> </w:t>
      </w:r>
      <w:r w:rsidRPr="4AC4243B">
        <w:rPr>
          <w:rStyle w:val="normaltextrun"/>
          <w:rFonts w:asciiTheme="minorHAnsi" w:eastAsiaTheme="minorEastAsia" w:hAnsiTheme="minorHAnsi" w:cstheme="minorBidi"/>
          <w:sz w:val="22"/>
          <w:szCs w:val="22"/>
        </w:rPr>
        <w:t>The existence of this standard has enabled third-party developers to build applications that can provide electronic filing as a service for a fee.</w:t>
      </w:r>
      <w:r w:rsidR="00C674F9" w:rsidRPr="4AC4243B">
        <w:rPr>
          <w:rStyle w:val="normaltextrun"/>
          <w:rFonts w:asciiTheme="minorHAnsi" w:eastAsiaTheme="minorEastAsia" w:hAnsiTheme="minorHAnsi" w:cstheme="minorBidi"/>
          <w:sz w:val="22"/>
          <w:szCs w:val="22"/>
        </w:rPr>
        <w:t xml:space="preserve"> </w:t>
      </w:r>
      <w:r w:rsidRPr="4AC4243B">
        <w:rPr>
          <w:rStyle w:val="normaltextrun"/>
          <w:rFonts w:asciiTheme="minorHAnsi" w:eastAsiaTheme="minorEastAsia" w:hAnsiTheme="minorHAnsi" w:cstheme="minorBidi"/>
          <w:sz w:val="22"/>
          <w:szCs w:val="22"/>
        </w:rPr>
        <w:t>These third-party vendors also provide added value by building software that walks a user through the creati</w:t>
      </w:r>
      <w:r w:rsidR="00567B00">
        <w:rPr>
          <w:rStyle w:val="normaltextrun"/>
          <w:rFonts w:asciiTheme="minorHAnsi" w:eastAsiaTheme="minorEastAsia" w:hAnsiTheme="minorHAnsi" w:cstheme="minorBidi"/>
          <w:sz w:val="22"/>
          <w:szCs w:val="22"/>
        </w:rPr>
        <w:t>ng of their tax forms in a user-</w:t>
      </w:r>
      <w:r w:rsidRPr="4AC4243B">
        <w:rPr>
          <w:rStyle w:val="normaltextrun"/>
          <w:rFonts w:asciiTheme="minorHAnsi" w:eastAsiaTheme="minorEastAsia" w:hAnsiTheme="minorHAnsi" w:cstheme="minorBidi"/>
          <w:sz w:val="22"/>
          <w:szCs w:val="22"/>
        </w:rPr>
        <w:t>friendly way.</w:t>
      </w:r>
      <w:r w:rsidR="00C674F9" w:rsidRPr="4AC4243B">
        <w:rPr>
          <w:rStyle w:val="normaltextrun"/>
          <w:rFonts w:asciiTheme="minorHAnsi" w:eastAsiaTheme="minorEastAsia" w:hAnsiTheme="minorHAnsi" w:cstheme="minorBidi"/>
          <w:sz w:val="22"/>
          <w:szCs w:val="22"/>
        </w:rPr>
        <w:t xml:space="preserve"> </w:t>
      </w:r>
    </w:p>
    <w:p w14:paraId="6BC801F6" w14:textId="77777777" w:rsidR="00DC22BF" w:rsidRDefault="00DC22BF" w:rsidP="00DC22BF">
      <w:pPr>
        <w:pStyle w:val="paragraph"/>
        <w:spacing w:before="0" w:beforeAutospacing="0" w:after="0" w:afterAutospacing="0"/>
        <w:textAlignment w:val="baseline"/>
        <w:rPr>
          <w:rStyle w:val="normaltextrun"/>
          <w:rFonts w:asciiTheme="minorHAnsi" w:eastAsiaTheme="minorEastAsia" w:hAnsiTheme="minorHAnsi" w:cstheme="minorBidi"/>
          <w:sz w:val="22"/>
          <w:szCs w:val="22"/>
        </w:rPr>
      </w:pPr>
    </w:p>
    <w:p w14:paraId="730033E6" w14:textId="782F2406" w:rsidR="00DC22BF" w:rsidRPr="00192D10" w:rsidRDefault="00DC22BF" w:rsidP="00DC22BF">
      <w:pPr>
        <w:pStyle w:val="paragraph"/>
        <w:spacing w:before="0" w:beforeAutospacing="0" w:after="0" w:afterAutospacing="0"/>
        <w:textAlignment w:val="baseline"/>
        <w:rPr>
          <w:rStyle w:val="normaltextrun"/>
          <w:rFonts w:asciiTheme="minorHAnsi" w:eastAsiaTheme="minorEastAsia" w:hAnsiTheme="minorHAnsi" w:cstheme="minorBidi"/>
          <w:sz w:val="22"/>
          <w:szCs w:val="22"/>
        </w:rPr>
      </w:pPr>
      <w:r w:rsidRPr="5656EAD3">
        <w:rPr>
          <w:rStyle w:val="normaltextrun"/>
          <w:rFonts w:asciiTheme="minorHAnsi" w:eastAsiaTheme="minorEastAsia" w:hAnsiTheme="minorHAnsi" w:cstheme="minorBidi"/>
          <w:sz w:val="22"/>
          <w:szCs w:val="22"/>
        </w:rPr>
        <w:t>There are also several organizations (both public and private) that have engaged in efforts to formalize and define standards.</w:t>
      </w:r>
      <w:r w:rsidR="00C674F9">
        <w:rPr>
          <w:rStyle w:val="normaltextrun"/>
          <w:rFonts w:asciiTheme="minorHAnsi" w:eastAsiaTheme="minorEastAsia" w:hAnsiTheme="minorHAnsi" w:cstheme="minorBidi"/>
          <w:sz w:val="22"/>
          <w:szCs w:val="22"/>
        </w:rPr>
        <w:t xml:space="preserve"> </w:t>
      </w:r>
      <w:r w:rsidR="00567B00" w:rsidRPr="00567B00">
        <w:rPr>
          <w:rStyle w:val="normaltextrun"/>
          <w:rFonts w:asciiTheme="minorHAnsi" w:eastAsiaTheme="minorEastAsia" w:hAnsiTheme="minorHAnsi" w:cstheme="minorBidi"/>
          <w:sz w:val="22"/>
          <w:szCs w:val="22"/>
        </w:rPr>
        <w:t>Institute of Electrical and Electronics Engineers</w:t>
      </w:r>
      <w:r w:rsidR="00567B00">
        <w:rPr>
          <w:rStyle w:val="normaltextrun"/>
          <w:rFonts w:asciiTheme="minorHAnsi" w:eastAsiaTheme="minorEastAsia" w:hAnsiTheme="minorHAnsi" w:cstheme="minorBidi"/>
          <w:sz w:val="22"/>
          <w:szCs w:val="22"/>
        </w:rPr>
        <w:t xml:space="preserve"> (</w:t>
      </w:r>
      <w:r w:rsidRPr="5656EAD3">
        <w:rPr>
          <w:rStyle w:val="normaltextrun"/>
          <w:rFonts w:asciiTheme="minorHAnsi" w:eastAsiaTheme="minorEastAsia" w:hAnsiTheme="minorHAnsi" w:cstheme="minorBidi"/>
          <w:sz w:val="22"/>
          <w:szCs w:val="22"/>
        </w:rPr>
        <w:t>IEEE</w:t>
      </w:r>
      <w:r w:rsidR="00567B00">
        <w:rPr>
          <w:rStyle w:val="normaltextrun"/>
          <w:rFonts w:asciiTheme="minorHAnsi" w:eastAsiaTheme="minorEastAsia" w:hAnsiTheme="minorHAnsi" w:cstheme="minorBidi"/>
          <w:sz w:val="22"/>
          <w:szCs w:val="22"/>
        </w:rPr>
        <w:t>)</w:t>
      </w:r>
      <w:r w:rsidRPr="5656EAD3">
        <w:rPr>
          <w:rStyle w:val="normaltextrun"/>
          <w:rFonts w:asciiTheme="minorHAnsi" w:eastAsiaTheme="minorEastAsia" w:hAnsiTheme="minorHAnsi" w:cstheme="minorBidi"/>
          <w:sz w:val="22"/>
          <w:szCs w:val="22"/>
        </w:rPr>
        <w:t>, the O</w:t>
      </w:r>
      <w:r w:rsidR="00567B00">
        <w:rPr>
          <w:rStyle w:val="normaltextrun"/>
          <w:rFonts w:asciiTheme="minorHAnsi" w:eastAsiaTheme="minorEastAsia" w:hAnsiTheme="minorHAnsi" w:cstheme="minorBidi"/>
          <w:sz w:val="22"/>
          <w:szCs w:val="22"/>
        </w:rPr>
        <w:t>pen Geospatial Consortium (OGC)</w:t>
      </w:r>
      <w:r w:rsidRPr="5656EAD3">
        <w:rPr>
          <w:rStyle w:val="normaltextrun"/>
          <w:rFonts w:asciiTheme="minorHAnsi" w:eastAsiaTheme="minorEastAsia" w:hAnsiTheme="minorHAnsi" w:cstheme="minorBidi"/>
          <w:sz w:val="22"/>
          <w:szCs w:val="22"/>
        </w:rPr>
        <w:t xml:space="preserve"> and the National Institute of Standards and Technology are three such examples.</w:t>
      </w:r>
      <w:r w:rsidR="00C674F9">
        <w:rPr>
          <w:rStyle w:val="normaltextrun"/>
          <w:rFonts w:asciiTheme="minorHAnsi" w:eastAsiaTheme="minorEastAsia" w:hAnsiTheme="minorHAnsi" w:cstheme="minorBidi"/>
          <w:sz w:val="22"/>
          <w:szCs w:val="22"/>
        </w:rPr>
        <w:t xml:space="preserve"> </w:t>
      </w:r>
      <w:r w:rsidRPr="5656EAD3">
        <w:rPr>
          <w:rStyle w:val="normaltextrun"/>
          <w:rFonts w:asciiTheme="minorHAnsi" w:eastAsiaTheme="minorEastAsia" w:hAnsiTheme="minorHAnsi" w:cstheme="minorBidi"/>
          <w:sz w:val="22"/>
          <w:szCs w:val="22"/>
        </w:rPr>
        <w:t>These groups provide the expertise, and often convene forums of experts to define, test, and promote standards.</w:t>
      </w:r>
      <w:r w:rsidR="00C674F9">
        <w:rPr>
          <w:rStyle w:val="normaltextrun"/>
          <w:rFonts w:asciiTheme="minorHAnsi" w:eastAsiaTheme="minorEastAsia" w:hAnsiTheme="minorHAnsi" w:cstheme="minorBidi"/>
          <w:sz w:val="22"/>
          <w:szCs w:val="22"/>
        </w:rPr>
        <w:t xml:space="preserve"> </w:t>
      </w:r>
      <w:r w:rsidRPr="5656EAD3">
        <w:rPr>
          <w:rStyle w:val="normaltextrun"/>
          <w:rFonts w:asciiTheme="minorHAnsi" w:eastAsiaTheme="minorEastAsia" w:hAnsiTheme="minorHAnsi" w:cstheme="minorBidi"/>
          <w:sz w:val="22"/>
          <w:szCs w:val="22"/>
        </w:rPr>
        <w:t xml:space="preserve">As part of the research of this Team, a core principle that </w:t>
      </w:r>
      <w:r w:rsidR="00CE5DAC">
        <w:rPr>
          <w:rStyle w:val="normaltextrun"/>
          <w:rFonts w:asciiTheme="minorHAnsi" w:eastAsiaTheme="minorEastAsia" w:hAnsiTheme="minorHAnsi" w:cstheme="minorBidi"/>
          <w:sz w:val="22"/>
          <w:szCs w:val="22"/>
        </w:rPr>
        <w:t>was followed</w:t>
      </w:r>
      <w:r w:rsidRPr="5656EAD3">
        <w:rPr>
          <w:rStyle w:val="normaltextrun"/>
          <w:rFonts w:asciiTheme="minorHAnsi" w:eastAsiaTheme="minorEastAsia" w:hAnsiTheme="minorHAnsi" w:cstheme="minorBidi"/>
          <w:sz w:val="22"/>
          <w:szCs w:val="22"/>
        </w:rPr>
        <w:t xml:space="preserve"> was</w:t>
      </w:r>
      <w:r w:rsidR="00CE5DAC">
        <w:rPr>
          <w:rStyle w:val="normaltextrun"/>
          <w:rFonts w:asciiTheme="minorHAnsi" w:eastAsiaTheme="minorEastAsia" w:hAnsiTheme="minorHAnsi" w:cstheme="minorBidi"/>
          <w:sz w:val="22"/>
          <w:szCs w:val="22"/>
        </w:rPr>
        <w:t xml:space="preserve"> to</w:t>
      </w:r>
      <w:r w:rsidRPr="5656EAD3">
        <w:rPr>
          <w:rStyle w:val="normaltextrun"/>
          <w:rFonts w:asciiTheme="minorHAnsi" w:eastAsiaTheme="minorEastAsia" w:hAnsiTheme="minorHAnsi" w:cstheme="minorBidi"/>
          <w:sz w:val="22"/>
          <w:szCs w:val="22"/>
        </w:rPr>
        <w:t xml:space="preserve"> leverage the work of these expert bodies wherever possible.</w:t>
      </w:r>
    </w:p>
    <w:p w14:paraId="69D3F05E" w14:textId="77777777" w:rsidR="00DC22BF" w:rsidRDefault="00DC22BF" w:rsidP="00DC22BF">
      <w:pPr>
        <w:pStyle w:val="paragraph"/>
        <w:spacing w:before="0" w:beforeAutospacing="0" w:after="0" w:afterAutospacing="0"/>
        <w:textAlignment w:val="baseline"/>
        <w:rPr>
          <w:rStyle w:val="normaltextrun"/>
          <w:rFonts w:asciiTheme="minorHAnsi" w:eastAsiaTheme="minorEastAsia" w:hAnsiTheme="minorHAnsi" w:cstheme="minorBidi"/>
          <w:sz w:val="22"/>
          <w:szCs w:val="22"/>
        </w:rPr>
      </w:pPr>
    </w:p>
    <w:p w14:paraId="02B9430F" w14:textId="012822B0" w:rsidR="00DC22BF" w:rsidRPr="00192D10" w:rsidRDefault="00DC22BF" w:rsidP="00DC22BF">
      <w:pPr>
        <w:pStyle w:val="paragraph"/>
        <w:spacing w:before="0" w:beforeAutospacing="0" w:after="0" w:afterAutospacing="0"/>
        <w:textAlignment w:val="baseline"/>
        <w:rPr>
          <w:rStyle w:val="normaltextrun"/>
          <w:rFonts w:asciiTheme="minorHAnsi" w:eastAsiaTheme="minorEastAsia" w:hAnsiTheme="minorHAnsi" w:cstheme="minorBidi"/>
          <w:sz w:val="22"/>
          <w:szCs w:val="22"/>
        </w:rPr>
      </w:pPr>
      <w:r w:rsidRPr="5656EAD3">
        <w:rPr>
          <w:rStyle w:val="normaltextrun"/>
          <w:rFonts w:asciiTheme="minorHAnsi" w:eastAsiaTheme="minorEastAsia" w:hAnsiTheme="minorHAnsi" w:cstheme="minorBidi"/>
          <w:sz w:val="22"/>
          <w:szCs w:val="22"/>
        </w:rPr>
        <w:t>When considering standards, there are at least four aspects to consider:</w:t>
      </w:r>
    </w:p>
    <w:p w14:paraId="184E420F" w14:textId="77777777" w:rsidR="00DC22BF" w:rsidRDefault="00DC22BF" w:rsidP="00DC22BF">
      <w:pPr>
        <w:pStyle w:val="paragraph"/>
        <w:spacing w:before="0" w:beforeAutospacing="0" w:after="0" w:afterAutospacing="0"/>
        <w:textAlignment w:val="baseline"/>
        <w:rPr>
          <w:rStyle w:val="normaltextrun"/>
          <w:rFonts w:asciiTheme="minorHAnsi" w:eastAsiaTheme="minorEastAsia" w:hAnsiTheme="minorHAnsi" w:cstheme="minorBidi"/>
          <w:sz w:val="22"/>
          <w:szCs w:val="22"/>
        </w:rPr>
      </w:pPr>
    </w:p>
    <w:p w14:paraId="0D49085B" w14:textId="70E500E8" w:rsidR="00DC22BF" w:rsidRPr="00A21B87" w:rsidRDefault="00DC22BF" w:rsidP="00A21B87">
      <w:pPr>
        <w:pStyle w:val="paragraph"/>
        <w:numPr>
          <w:ilvl w:val="0"/>
          <w:numId w:val="18"/>
        </w:numPr>
        <w:spacing w:before="0" w:beforeAutospacing="0" w:after="0" w:afterAutospacing="0"/>
        <w:textAlignment w:val="baseline"/>
        <w:rPr>
          <w:rStyle w:val="normaltextrun"/>
          <w:rFonts w:asciiTheme="minorHAnsi" w:eastAsiaTheme="minorEastAsia" w:hAnsiTheme="minorHAnsi" w:cstheme="minorBidi"/>
          <w:sz w:val="22"/>
          <w:szCs w:val="22"/>
        </w:rPr>
      </w:pPr>
      <w:r w:rsidRPr="4AC4243B">
        <w:rPr>
          <w:rStyle w:val="normaltextrun"/>
          <w:rFonts w:asciiTheme="minorHAnsi" w:eastAsiaTheme="minorEastAsia" w:hAnsiTheme="minorHAnsi" w:cstheme="minorBidi"/>
          <w:b/>
          <w:bCs/>
          <w:sz w:val="22"/>
          <w:szCs w:val="22"/>
        </w:rPr>
        <w:t>Data Standard.</w:t>
      </w:r>
      <w:r w:rsidR="00C674F9" w:rsidRPr="4AC4243B">
        <w:rPr>
          <w:rStyle w:val="normaltextrun"/>
          <w:rFonts w:asciiTheme="minorHAnsi" w:eastAsiaTheme="minorEastAsia" w:hAnsiTheme="minorHAnsi" w:cstheme="minorBidi"/>
          <w:sz w:val="22"/>
          <w:szCs w:val="22"/>
        </w:rPr>
        <w:t xml:space="preserve"> </w:t>
      </w:r>
      <w:r w:rsidRPr="4AC4243B">
        <w:rPr>
          <w:rStyle w:val="normaltextrun"/>
          <w:rFonts w:asciiTheme="minorHAnsi" w:eastAsiaTheme="minorEastAsia" w:hAnsiTheme="minorHAnsi" w:cstheme="minorBidi"/>
          <w:sz w:val="22"/>
          <w:szCs w:val="22"/>
        </w:rPr>
        <w:t>This defines the data elements and rules used to describe data, as well as the structure and format of that data.</w:t>
      </w:r>
      <w:r w:rsidR="00C674F9" w:rsidRPr="4AC4243B">
        <w:rPr>
          <w:rStyle w:val="normaltextrun"/>
          <w:rFonts w:asciiTheme="minorHAnsi" w:eastAsiaTheme="minorEastAsia" w:hAnsiTheme="minorHAnsi" w:cstheme="minorBidi"/>
          <w:sz w:val="22"/>
          <w:szCs w:val="22"/>
        </w:rPr>
        <w:t xml:space="preserve"> </w:t>
      </w:r>
      <w:r w:rsidRPr="4AC4243B">
        <w:rPr>
          <w:rStyle w:val="normaltextrun"/>
          <w:rFonts w:asciiTheme="minorHAnsi" w:eastAsiaTheme="minorEastAsia" w:hAnsiTheme="minorHAnsi" w:cstheme="minorBidi"/>
          <w:sz w:val="22"/>
          <w:szCs w:val="22"/>
        </w:rPr>
        <w:t>Additional considerations can include the ontologies used to describe the data (i.e. common set of terms used to describe the parameters being monitored).</w:t>
      </w:r>
      <w:r w:rsidR="00C674F9" w:rsidRPr="4AC4243B">
        <w:rPr>
          <w:rStyle w:val="normaltextrun"/>
          <w:rFonts w:asciiTheme="minorHAnsi" w:eastAsiaTheme="minorEastAsia" w:hAnsiTheme="minorHAnsi" w:cstheme="minorBidi"/>
          <w:sz w:val="22"/>
          <w:szCs w:val="22"/>
        </w:rPr>
        <w:t xml:space="preserve"> </w:t>
      </w:r>
      <w:r w:rsidRPr="4AC4243B">
        <w:rPr>
          <w:rStyle w:val="normaltextrun"/>
          <w:rFonts w:asciiTheme="minorHAnsi" w:eastAsiaTheme="minorEastAsia" w:hAnsiTheme="minorHAnsi" w:cstheme="minorBidi"/>
          <w:sz w:val="22"/>
          <w:szCs w:val="22"/>
        </w:rPr>
        <w:t>The data standard is a critical first step in being able make data interoperable.</w:t>
      </w:r>
      <w:r w:rsidR="00C674F9" w:rsidRPr="4AC4243B">
        <w:rPr>
          <w:rStyle w:val="normaltextrun"/>
          <w:rFonts w:asciiTheme="minorHAnsi" w:eastAsiaTheme="minorEastAsia" w:hAnsiTheme="minorHAnsi" w:cstheme="minorBidi"/>
          <w:sz w:val="22"/>
          <w:szCs w:val="22"/>
        </w:rPr>
        <w:t xml:space="preserve"> </w:t>
      </w:r>
      <w:r w:rsidRPr="4AC4243B">
        <w:rPr>
          <w:rStyle w:val="normaltextrun"/>
          <w:rFonts w:asciiTheme="minorHAnsi" w:eastAsiaTheme="minorEastAsia" w:hAnsiTheme="minorHAnsi" w:cstheme="minorBidi"/>
          <w:sz w:val="22"/>
          <w:szCs w:val="22"/>
        </w:rPr>
        <w:t>Defining a data standard must go beyond defining broad concepts, but must also get down to defining specific data elements with the precise names and rules for each of these elements.</w:t>
      </w:r>
      <w:r w:rsidR="00C674F9" w:rsidRPr="4AC4243B">
        <w:rPr>
          <w:rStyle w:val="normaltextrun"/>
          <w:rFonts w:asciiTheme="minorHAnsi" w:eastAsiaTheme="minorEastAsia" w:hAnsiTheme="minorHAnsi" w:cstheme="minorBidi"/>
          <w:sz w:val="22"/>
          <w:szCs w:val="22"/>
        </w:rPr>
        <w:t xml:space="preserve"> </w:t>
      </w:r>
      <w:r w:rsidR="009570A6" w:rsidRPr="4AC4243B">
        <w:rPr>
          <w:rStyle w:val="normaltextrun"/>
          <w:rFonts w:asciiTheme="minorHAnsi" w:eastAsiaTheme="minorEastAsia" w:hAnsiTheme="minorHAnsi" w:cstheme="minorBidi"/>
          <w:sz w:val="22"/>
          <w:szCs w:val="22"/>
        </w:rPr>
        <w:t xml:space="preserve"> For example, .csv is a data file format that has no associated documentation, and would not qualify as a data standard as we have defined it</w:t>
      </w:r>
      <w:r w:rsidR="00CB2B4A" w:rsidRPr="4AC4243B">
        <w:rPr>
          <w:rStyle w:val="normaltextrun"/>
          <w:rFonts w:asciiTheme="minorHAnsi" w:eastAsiaTheme="minorEastAsia" w:hAnsiTheme="minorHAnsi" w:cstheme="minorBidi"/>
          <w:sz w:val="22"/>
          <w:szCs w:val="22"/>
        </w:rPr>
        <w:t xml:space="preserve"> here.</w:t>
      </w:r>
      <w:r w:rsidR="009570A6" w:rsidRPr="4AC4243B">
        <w:rPr>
          <w:rStyle w:val="normaltextrun"/>
          <w:rFonts w:asciiTheme="minorHAnsi" w:eastAsiaTheme="minorEastAsia" w:hAnsiTheme="minorHAnsi" w:cstheme="minorBidi"/>
          <w:sz w:val="22"/>
          <w:szCs w:val="22"/>
        </w:rPr>
        <w:t xml:space="preserve"> </w:t>
      </w:r>
      <w:r w:rsidRPr="4AC4243B">
        <w:rPr>
          <w:rStyle w:val="normaltextrun"/>
          <w:rFonts w:asciiTheme="minorHAnsi" w:eastAsiaTheme="minorEastAsia" w:hAnsiTheme="minorHAnsi" w:cstheme="minorBidi"/>
          <w:sz w:val="22"/>
          <w:szCs w:val="22"/>
        </w:rPr>
        <w:t>The Exchange Network</w:t>
      </w:r>
      <w:r w:rsidR="009570A6" w:rsidRPr="4AC4243B">
        <w:rPr>
          <w:rStyle w:val="normaltextrun"/>
          <w:rFonts w:asciiTheme="minorHAnsi" w:eastAsiaTheme="minorEastAsia" w:hAnsiTheme="minorHAnsi" w:cstheme="minorBidi"/>
          <w:sz w:val="22"/>
          <w:szCs w:val="22"/>
        </w:rPr>
        <w:t>, however,</w:t>
      </w:r>
      <w:r w:rsidRPr="4AC4243B">
        <w:rPr>
          <w:rStyle w:val="normaltextrun"/>
          <w:rFonts w:asciiTheme="minorHAnsi" w:eastAsiaTheme="minorEastAsia" w:hAnsiTheme="minorHAnsi" w:cstheme="minorBidi"/>
          <w:sz w:val="22"/>
          <w:szCs w:val="22"/>
        </w:rPr>
        <w:t xml:space="preserve"> has served as an excellent example of this process with data standards having been defined for various data and information flows.</w:t>
      </w:r>
    </w:p>
    <w:p w14:paraId="45D23970" w14:textId="44494BCD" w:rsidR="00DC22BF" w:rsidRPr="00192D10" w:rsidRDefault="00DC22BF" w:rsidP="00DC22BF">
      <w:pPr>
        <w:pStyle w:val="paragraph"/>
        <w:numPr>
          <w:ilvl w:val="0"/>
          <w:numId w:val="18"/>
        </w:numPr>
        <w:spacing w:before="0" w:beforeAutospacing="0" w:after="0" w:afterAutospacing="0"/>
        <w:textAlignment w:val="baseline"/>
        <w:rPr>
          <w:rStyle w:val="normaltextrun"/>
          <w:rFonts w:asciiTheme="minorHAnsi" w:eastAsiaTheme="minorEastAsia" w:hAnsiTheme="minorHAnsi" w:cstheme="minorBidi"/>
          <w:b/>
          <w:bCs/>
          <w:sz w:val="22"/>
          <w:szCs w:val="22"/>
        </w:rPr>
      </w:pPr>
      <w:r w:rsidRPr="5656EAD3">
        <w:rPr>
          <w:rStyle w:val="normaltextrun"/>
          <w:rFonts w:asciiTheme="minorHAnsi" w:eastAsiaTheme="minorEastAsia" w:hAnsiTheme="minorHAnsi" w:cstheme="minorBidi"/>
          <w:b/>
          <w:bCs/>
          <w:sz w:val="22"/>
          <w:szCs w:val="22"/>
        </w:rPr>
        <w:t xml:space="preserve">Communication </w:t>
      </w:r>
      <w:r w:rsidR="00A03466">
        <w:rPr>
          <w:rStyle w:val="normaltextrun"/>
          <w:rFonts w:asciiTheme="minorHAnsi" w:eastAsiaTheme="minorEastAsia" w:hAnsiTheme="minorHAnsi" w:cstheme="minorBidi"/>
          <w:b/>
          <w:bCs/>
          <w:sz w:val="22"/>
          <w:szCs w:val="22"/>
        </w:rPr>
        <w:t xml:space="preserve">Interface </w:t>
      </w:r>
      <w:r w:rsidRPr="5656EAD3">
        <w:rPr>
          <w:rStyle w:val="normaltextrun"/>
          <w:rFonts w:asciiTheme="minorHAnsi" w:eastAsiaTheme="minorEastAsia" w:hAnsiTheme="minorHAnsi" w:cstheme="minorBidi"/>
          <w:b/>
          <w:bCs/>
          <w:sz w:val="22"/>
          <w:szCs w:val="22"/>
        </w:rPr>
        <w:t>(Application Program Interfaces).</w:t>
      </w:r>
      <w:r w:rsidR="00C674F9">
        <w:rPr>
          <w:rStyle w:val="normaltextrun"/>
          <w:rFonts w:asciiTheme="minorHAnsi" w:eastAsiaTheme="minorEastAsia" w:hAnsiTheme="minorHAnsi" w:cstheme="minorBidi"/>
          <w:b/>
          <w:bCs/>
          <w:sz w:val="22"/>
          <w:szCs w:val="22"/>
        </w:rPr>
        <w:t xml:space="preserve"> </w:t>
      </w:r>
      <w:r w:rsidRPr="5656EAD3">
        <w:rPr>
          <w:rStyle w:val="normaltextrun"/>
          <w:rFonts w:asciiTheme="minorHAnsi" w:eastAsiaTheme="minorEastAsia" w:hAnsiTheme="minorHAnsi" w:cstheme="minorBidi"/>
          <w:sz w:val="22"/>
          <w:szCs w:val="22"/>
        </w:rPr>
        <w:t>To allow for computers to be able to communicate with one another (which is one of the key reasons why you develop a data standard), you must also agree upon how that communication is going to occur.</w:t>
      </w:r>
      <w:r w:rsidR="00C674F9">
        <w:rPr>
          <w:rStyle w:val="normaltextrun"/>
          <w:rFonts w:asciiTheme="minorHAnsi" w:eastAsiaTheme="minorEastAsia" w:hAnsiTheme="minorHAnsi" w:cstheme="minorBidi"/>
          <w:sz w:val="22"/>
          <w:szCs w:val="22"/>
        </w:rPr>
        <w:t xml:space="preserve"> </w:t>
      </w:r>
      <w:r w:rsidRPr="5656EAD3">
        <w:rPr>
          <w:rStyle w:val="normaltextrun"/>
          <w:rFonts w:asciiTheme="minorHAnsi" w:eastAsiaTheme="minorEastAsia" w:hAnsiTheme="minorHAnsi" w:cstheme="minorBidi"/>
          <w:sz w:val="22"/>
          <w:szCs w:val="22"/>
        </w:rPr>
        <w:t>The computer must know what questions can be asked, and how those questions will be answered.</w:t>
      </w:r>
      <w:r w:rsidR="00C674F9">
        <w:rPr>
          <w:rStyle w:val="normaltextrun"/>
          <w:rFonts w:asciiTheme="minorHAnsi" w:eastAsiaTheme="minorEastAsia" w:hAnsiTheme="minorHAnsi" w:cstheme="minorBidi"/>
          <w:sz w:val="22"/>
          <w:szCs w:val="22"/>
        </w:rPr>
        <w:t xml:space="preserve"> </w:t>
      </w:r>
      <w:r w:rsidRPr="5656EAD3">
        <w:rPr>
          <w:rStyle w:val="normaltextrun"/>
          <w:rFonts w:asciiTheme="minorHAnsi" w:eastAsiaTheme="minorEastAsia" w:hAnsiTheme="minorHAnsi" w:cstheme="minorBidi"/>
          <w:sz w:val="22"/>
          <w:szCs w:val="22"/>
        </w:rPr>
        <w:t>To make information interoperable, any computer participating in that network of shared information must be able to answer the same questions in a common way.</w:t>
      </w:r>
      <w:r w:rsidR="00C674F9">
        <w:rPr>
          <w:rStyle w:val="normaltextrun"/>
          <w:rFonts w:asciiTheme="minorHAnsi" w:eastAsiaTheme="minorEastAsia" w:hAnsiTheme="minorHAnsi" w:cstheme="minorBidi"/>
          <w:sz w:val="22"/>
          <w:szCs w:val="22"/>
        </w:rPr>
        <w:t xml:space="preserve"> </w:t>
      </w:r>
      <w:r w:rsidRPr="5656EAD3">
        <w:rPr>
          <w:rStyle w:val="normaltextrun"/>
          <w:rFonts w:asciiTheme="minorHAnsi" w:eastAsiaTheme="minorEastAsia" w:hAnsiTheme="minorHAnsi" w:cstheme="minorBidi"/>
          <w:sz w:val="22"/>
          <w:szCs w:val="22"/>
        </w:rPr>
        <w:t>This enables third-party developers to write applications against the network, without having to rewrite their application every time a new partner joins the network.</w:t>
      </w:r>
    </w:p>
    <w:p w14:paraId="2CF2683D" w14:textId="3AE97E72" w:rsidR="00DC22BF" w:rsidRPr="00192D10" w:rsidRDefault="00DC22BF" w:rsidP="00DC22BF">
      <w:pPr>
        <w:pStyle w:val="paragraph"/>
        <w:numPr>
          <w:ilvl w:val="0"/>
          <w:numId w:val="18"/>
        </w:numPr>
        <w:spacing w:before="0" w:beforeAutospacing="0" w:after="0" w:afterAutospacing="0"/>
        <w:textAlignment w:val="baseline"/>
        <w:rPr>
          <w:rStyle w:val="normaltextrun"/>
          <w:rFonts w:asciiTheme="minorHAnsi" w:eastAsiaTheme="minorEastAsia" w:hAnsiTheme="minorHAnsi" w:cstheme="minorBidi"/>
          <w:b/>
          <w:bCs/>
          <w:sz w:val="22"/>
          <w:szCs w:val="22"/>
        </w:rPr>
      </w:pPr>
      <w:r w:rsidRPr="5656EAD3">
        <w:rPr>
          <w:rStyle w:val="normaltextrun"/>
          <w:rFonts w:asciiTheme="minorHAnsi" w:eastAsiaTheme="minorEastAsia" w:hAnsiTheme="minorHAnsi" w:cstheme="minorBidi"/>
          <w:b/>
          <w:bCs/>
          <w:sz w:val="22"/>
          <w:szCs w:val="22"/>
        </w:rPr>
        <w:t>Metadata.</w:t>
      </w:r>
      <w:r w:rsidR="00C674F9">
        <w:rPr>
          <w:rStyle w:val="normaltextrun"/>
          <w:rFonts w:asciiTheme="minorHAnsi" w:eastAsiaTheme="minorEastAsia" w:hAnsiTheme="minorHAnsi" w:cstheme="minorBidi"/>
          <w:sz w:val="22"/>
          <w:szCs w:val="22"/>
        </w:rPr>
        <w:t xml:space="preserve"> </w:t>
      </w:r>
      <w:r w:rsidRPr="5656EAD3">
        <w:rPr>
          <w:rStyle w:val="normaltextrun"/>
          <w:rFonts w:asciiTheme="minorHAnsi" w:eastAsiaTheme="minorEastAsia" w:hAnsiTheme="minorHAnsi" w:cstheme="minorBidi"/>
          <w:sz w:val="22"/>
          <w:szCs w:val="22"/>
        </w:rPr>
        <w:t>Metadata describes the data that are being communicated via the data standard.</w:t>
      </w:r>
      <w:r w:rsidR="00C674F9">
        <w:rPr>
          <w:rStyle w:val="normaltextrun"/>
          <w:rFonts w:asciiTheme="minorHAnsi" w:eastAsiaTheme="minorEastAsia" w:hAnsiTheme="minorHAnsi" w:cstheme="minorBidi"/>
          <w:sz w:val="22"/>
          <w:szCs w:val="22"/>
        </w:rPr>
        <w:t xml:space="preserve"> </w:t>
      </w:r>
      <w:r w:rsidRPr="5656EAD3">
        <w:rPr>
          <w:rStyle w:val="normaltextrun"/>
          <w:rFonts w:asciiTheme="minorHAnsi" w:eastAsiaTheme="minorEastAsia" w:hAnsiTheme="minorHAnsi" w:cstheme="minorBidi"/>
          <w:sz w:val="22"/>
          <w:szCs w:val="22"/>
        </w:rPr>
        <w:t xml:space="preserve">Although metadata could be considered a part of the data standard, </w:t>
      </w:r>
      <w:proofErr w:type="gramStart"/>
      <w:r w:rsidRPr="5656EAD3">
        <w:rPr>
          <w:rStyle w:val="normaltextrun"/>
          <w:rFonts w:asciiTheme="minorHAnsi" w:eastAsiaTheme="minorEastAsia" w:hAnsiTheme="minorHAnsi" w:cstheme="minorBidi"/>
          <w:sz w:val="22"/>
          <w:szCs w:val="22"/>
        </w:rPr>
        <w:t>for the purpose of</w:t>
      </w:r>
      <w:proofErr w:type="gramEnd"/>
      <w:r w:rsidRPr="5656EAD3">
        <w:rPr>
          <w:rStyle w:val="normaltextrun"/>
          <w:rFonts w:asciiTheme="minorHAnsi" w:eastAsiaTheme="minorEastAsia" w:hAnsiTheme="minorHAnsi" w:cstheme="minorBidi"/>
          <w:sz w:val="22"/>
          <w:szCs w:val="22"/>
        </w:rPr>
        <w:t xml:space="preserve"> this report, the team has chosen to separate out portions of the metadata elements from the data standard.</w:t>
      </w:r>
      <w:r w:rsidR="00C674F9">
        <w:rPr>
          <w:rStyle w:val="normaltextrun"/>
          <w:rFonts w:asciiTheme="minorHAnsi" w:eastAsiaTheme="minorEastAsia" w:hAnsiTheme="minorHAnsi" w:cstheme="minorBidi"/>
          <w:sz w:val="22"/>
          <w:szCs w:val="22"/>
        </w:rPr>
        <w:t xml:space="preserve"> </w:t>
      </w:r>
      <w:r w:rsidRPr="5656EAD3">
        <w:rPr>
          <w:rStyle w:val="normaltextrun"/>
          <w:rFonts w:asciiTheme="minorHAnsi" w:eastAsiaTheme="minorEastAsia" w:hAnsiTheme="minorHAnsi" w:cstheme="minorBidi"/>
          <w:sz w:val="22"/>
          <w:szCs w:val="22"/>
        </w:rPr>
        <w:t>Part of the reason for this is in part due to the uniqueness of continuous data and how it is used.</w:t>
      </w:r>
      <w:r w:rsidR="00C674F9">
        <w:rPr>
          <w:rStyle w:val="normaltextrun"/>
          <w:rFonts w:asciiTheme="minorHAnsi" w:eastAsiaTheme="minorEastAsia" w:hAnsiTheme="minorHAnsi" w:cstheme="minorBidi"/>
          <w:sz w:val="22"/>
          <w:szCs w:val="22"/>
        </w:rPr>
        <w:t xml:space="preserve"> </w:t>
      </w:r>
      <w:r w:rsidRPr="5656EAD3">
        <w:rPr>
          <w:rStyle w:val="normaltextrun"/>
          <w:rFonts w:asciiTheme="minorHAnsi" w:eastAsiaTheme="minorEastAsia" w:hAnsiTheme="minorHAnsi" w:cstheme="minorBidi"/>
          <w:sz w:val="22"/>
          <w:szCs w:val="22"/>
        </w:rPr>
        <w:t>For continuous data, a few pieces of metadata can describe a large quantity of data, and as such doesn’t need to be repeated for every time/value pair in the data set.</w:t>
      </w:r>
      <w:r w:rsidR="00C674F9">
        <w:rPr>
          <w:rStyle w:val="normaltextrun"/>
          <w:rFonts w:asciiTheme="minorHAnsi" w:eastAsiaTheme="minorEastAsia" w:hAnsiTheme="minorHAnsi" w:cstheme="minorBidi"/>
          <w:sz w:val="22"/>
          <w:szCs w:val="22"/>
        </w:rPr>
        <w:t xml:space="preserve"> </w:t>
      </w:r>
      <w:r w:rsidRPr="5656EAD3">
        <w:rPr>
          <w:rStyle w:val="normaltextrun"/>
          <w:rFonts w:asciiTheme="minorHAnsi" w:eastAsiaTheme="minorEastAsia" w:hAnsiTheme="minorHAnsi" w:cstheme="minorBidi"/>
          <w:sz w:val="22"/>
          <w:szCs w:val="22"/>
        </w:rPr>
        <w:t xml:space="preserve">The metadata are therefore used for discovering data and determining the fit-of-use of that data, and would likely be done prior to </w:t>
      </w:r>
      <w:proofErr w:type="gramStart"/>
      <w:r w:rsidRPr="5656EAD3">
        <w:rPr>
          <w:rStyle w:val="normaltextrun"/>
          <w:rFonts w:asciiTheme="minorHAnsi" w:eastAsiaTheme="minorEastAsia" w:hAnsiTheme="minorHAnsi" w:cstheme="minorBidi"/>
          <w:sz w:val="22"/>
          <w:szCs w:val="22"/>
        </w:rPr>
        <w:t>actually retrieving</w:t>
      </w:r>
      <w:proofErr w:type="gramEnd"/>
      <w:r w:rsidRPr="5656EAD3">
        <w:rPr>
          <w:rStyle w:val="normaltextrun"/>
          <w:rFonts w:asciiTheme="minorHAnsi" w:eastAsiaTheme="minorEastAsia" w:hAnsiTheme="minorHAnsi" w:cstheme="minorBidi"/>
          <w:sz w:val="22"/>
          <w:szCs w:val="22"/>
        </w:rPr>
        <w:t xml:space="preserve"> the data themselves.</w:t>
      </w:r>
      <w:r w:rsidR="00C674F9">
        <w:rPr>
          <w:rStyle w:val="normaltextrun"/>
          <w:rFonts w:asciiTheme="minorHAnsi" w:eastAsiaTheme="minorEastAsia" w:hAnsiTheme="minorHAnsi" w:cstheme="minorBidi"/>
          <w:sz w:val="22"/>
          <w:szCs w:val="22"/>
        </w:rPr>
        <w:t xml:space="preserve"> </w:t>
      </w:r>
      <w:r w:rsidRPr="5656EAD3">
        <w:rPr>
          <w:rStyle w:val="normaltextrun"/>
          <w:rFonts w:asciiTheme="minorHAnsi" w:eastAsiaTheme="minorEastAsia" w:hAnsiTheme="minorHAnsi" w:cstheme="minorBidi"/>
          <w:sz w:val="22"/>
          <w:szCs w:val="22"/>
        </w:rPr>
        <w:t>Metadata will be covered in a future report.</w:t>
      </w:r>
    </w:p>
    <w:p w14:paraId="6A95AADF" w14:textId="580E832F" w:rsidR="00DC22BF" w:rsidRPr="00A21B87" w:rsidRDefault="00DC22BF" w:rsidP="00A21B87">
      <w:pPr>
        <w:pStyle w:val="paragraph"/>
        <w:numPr>
          <w:ilvl w:val="0"/>
          <w:numId w:val="18"/>
        </w:numPr>
        <w:spacing w:before="0" w:beforeAutospacing="0" w:after="0" w:afterAutospacing="0"/>
        <w:textAlignment w:val="baseline"/>
        <w:rPr>
          <w:rStyle w:val="normaltextrun"/>
          <w:rFonts w:asciiTheme="minorHAnsi" w:eastAsiaTheme="minorEastAsia" w:hAnsiTheme="minorHAnsi" w:cstheme="minorBidi"/>
          <w:b/>
          <w:bCs/>
          <w:sz w:val="22"/>
          <w:szCs w:val="22"/>
        </w:rPr>
      </w:pPr>
      <w:r w:rsidRPr="4AC4243B">
        <w:rPr>
          <w:rStyle w:val="normaltextrun"/>
          <w:rFonts w:asciiTheme="minorHAnsi" w:eastAsiaTheme="minorEastAsia" w:hAnsiTheme="minorHAnsi" w:cstheme="minorBidi"/>
          <w:b/>
          <w:bCs/>
          <w:sz w:val="22"/>
          <w:szCs w:val="22"/>
        </w:rPr>
        <w:t>Architecture.</w:t>
      </w:r>
      <w:r w:rsidR="00C674F9" w:rsidRPr="4AC4243B">
        <w:rPr>
          <w:rStyle w:val="normaltextrun"/>
          <w:rFonts w:asciiTheme="minorHAnsi" w:eastAsiaTheme="minorEastAsia" w:hAnsiTheme="minorHAnsi" w:cstheme="minorBidi"/>
          <w:b/>
          <w:bCs/>
          <w:sz w:val="22"/>
          <w:szCs w:val="22"/>
        </w:rPr>
        <w:t xml:space="preserve"> </w:t>
      </w:r>
      <w:r w:rsidRPr="4AC4243B">
        <w:rPr>
          <w:rStyle w:val="normaltextrun"/>
          <w:rFonts w:asciiTheme="minorHAnsi" w:eastAsiaTheme="minorEastAsia" w:hAnsiTheme="minorHAnsi" w:cstheme="minorBidi"/>
          <w:sz w:val="22"/>
          <w:szCs w:val="22"/>
        </w:rPr>
        <w:t>The architecture of the system/network defines how the data would flow between partners to enable discovery of the data.</w:t>
      </w:r>
      <w:r w:rsidR="00C674F9" w:rsidRPr="4AC4243B">
        <w:rPr>
          <w:rStyle w:val="normaltextrun"/>
          <w:rFonts w:asciiTheme="minorHAnsi" w:eastAsiaTheme="minorEastAsia" w:hAnsiTheme="minorHAnsi" w:cstheme="minorBidi"/>
          <w:sz w:val="22"/>
          <w:szCs w:val="22"/>
        </w:rPr>
        <w:t xml:space="preserve"> </w:t>
      </w:r>
      <w:r w:rsidRPr="4AC4243B">
        <w:rPr>
          <w:rStyle w:val="normaltextrun"/>
          <w:rFonts w:asciiTheme="minorHAnsi" w:eastAsiaTheme="minorEastAsia" w:hAnsiTheme="minorHAnsi" w:cstheme="minorBidi"/>
          <w:sz w:val="22"/>
          <w:szCs w:val="22"/>
        </w:rPr>
        <w:t xml:space="preserve">For example, would </w:t>
      </w:r>
      <w:proofErr w:type="gramStart"/>
      <w:r w:rsidRPr="4AC4243B">
        <w:rPr>
          <w:rStyle w:val="normaltextrun"/>
          <w:rFonts w:asciiTheme="minorHAnsi" w:eastAsiaTheme="minorEastAsia" w:hAnsiTheme="minorHAnsi" w:cstheme="minorBidi"/>
          <w:sz w:val="22"/>
          <w:szCs w:val="22"/>
        </w:rPr>
        <w:t>all of</w:t>
      </w:r>
      <w:proofErr w:type="gramEnd"/>
      <w:r w:rsidRPr="4AC4243B">
        <w:rPr>
          <w:rStyle w:val="normaltextrun"/>
          <w:rFonts w:asciiTheme="minorHAnsi" w:eastAsiaTheme="minorEastAsia" w:hAnsiTheme="minorHAnsi" w:cstheme="minorBidi"/>
          <w:sz w:val="22"/>
          <w:szCs w:val="22"/>
        </w:rPr>
        <w:t xml:space="preserve"> the data be submitted to a central repository, and then shared out from there?</w:t>
      </w:r>
      <w:r w:rsidR="00C674F9" w:rsidRPr="4AC4243B">
        <w:rPr>
          <w:rStyle w:val="normaltextrun"/>
          <w:rFonts w:asciiTheme="minorHAnsi" w:eastAsiaTheme="minorEastAsia" w:hAnsiTheme="minorHAnsi" w:cstheme="minorBidi"/>
          <w:sz w:val="22"/>
          <w:szCs w:val="22"/>
        </w:rPr>
        <w:t xml:space="preserve"> </w:t>
      </w:r>
      <w:r w:rsidRPr="4AC4243B">
        <w:rPr>
          <w:rStyle w:val="normaltextrun"/>
          <w:rFonts w:asciiTheme="minorHAnsi" w:eastAsiaTheme="minorEastAsia" w:hAnsiTheme="minorHAnsi" w:cstheme="minorBidi"/>
          <w:sz w:val="22"/>
          <w:szCs w:val="22"/>
        </w:rPr>
        <w:t>Or rather, would a central index be maintained of where data are available and then data are retrieved real-time from the source.</w:t>
      </w:r>
      <w:r w:rsidR="00C674F9" w:rsidRPr="4AC4243B">
        <w:rPr>
          <w:rStyle w:val="normaltextrun"/>
          <w:rFonts w:asciiTheme="minorHAnsi" w:eastAsiaTheme="minorEastAsia" w:hAnsiTheme="minorHAnsi" w:cstheme="minorBidi"/>
          <w:sz w:val="22"/>
          <w:szCs w:val="22"/>
        </w:rPr>
        <w:t xml:space="preserve"> </w:t>
      </w:r>
      <w:r w:rsidRPr="4AC4243B">
        <w:rPr>
          <w:rStyle w:val="normaltextrun"/>
          <w:rFonts w:asciiTheme="minorHAnsi" w:eastAsiaTheme="minorEastAsia" w:hAnsiTheme="minorHAnsi" w:cstheme="minorBidi"/>
          <w:sz w:val="22"/>
          <w:szCs w:val="22"/>
        </w:rPr>
        <w:t xml:space="preserve">The architecture of the system depends very much on how the data will be </w:t>
      </w:r>
      <w:r w:rsidR="00E27733" w:rsidRPr="4AC4243B">
        <w:rPr>
          <w:rStyle w:val="normaltextrun"/>
          <w:rFonts w:asciiTheme="minorHAnsi" w:eastAsiaTheme="minorEastAsia" w:hAnsiTheme="minorHAnsi" w:cstheme="minorBidi"/>
          <w:sz w:val="22"/>
          <w:szCs w:val="22"/>
        </w:rPr>
        <w:t>used</w:t>
      </w:r>
      <w:r w:rsidRPr="4AC4243B">
        <w:rPr>
          <w:rStyle w:val="normaltextrun"/>
          <w:rFonts w:asciiTheme="minorHAnsi" w:eastAsiaTheme="minorEastAsia" w:hAnsiTheme="minorHAnsi" w:cstheme="minorBidi"/>
          <w:sz w:val="22"/>
          <w:szCs w:val="22"/>
        </w:rPr>
        <w:t>, and the nature of the data (i.e. real-time data may not be a good fit for a central repository, if those data are coming from multiple sources).</w:t>
      </w:r>
      <w:r w:rsidR="00C674F9" w:rsidRPr="4AC4243B">
        <w:rPr>
          <w:rStyle w:val="normaltextrun"/>
          <w:rFonts w:asciiTheme="minorHAnsi" w:eastAsiaTheme="minorEastAsia" w:hAnsiTheme="minorHAnsi" w:cstheme="minorBidi"/>
          <w:sz w:val="22"/>
          <w:szCs w:val="22"/>
        </w:rPr>
        <w:t xml:space="preserve"> </w:t>
      </w:r>
      <w:r w:rsidRPr="4AC4243B">
        <w:rPr>
          <w:rStyle w:val="normaltextrun"/>
          <w:rFonts w:asciiTheme="minorHAnsi" w:eastAsiaTheme="minorEastAsia" w:hAnsiTheme="minorHAnsi" w:cstheme="minorBidi"/>
          <w:sz w:val="22"/>
          <w:szCs w:val="22"/>
        </w:rPr>
        <w:t>The proposed architecture for the system will also be covered in a future report.</w:t>
      </w:r>
    </w:p>
    <w:p w14:paraId="75E0B032" w14:textId="68AA2D1C" w:rsidR="00DC22BF" w:rsidRPr="00C674F9" w:rsidRDefault="00DC22BF" w:rsidP="00C674F9">
      <w:pPr>
        <w:pStyle w:val="Heading2"/>
      </w:pPr>
      <w:r w:rsidRPr="00C674F9">
        <w:lastRenderedPageBreak/>
        <w:t>Minimum Data and Metadata Elements</w:t>
      </w:r>
    </w:p>
    <w:p w14:paraId="47D4691F" w14:textId="4F2AB70F" w:rsidR="00DC22BF" w:rsidRDefault="00E51106" w:rsidP="00AF1554">
      <w:pPr>
        <w:pStyle w:val="paragraph"/>
        <w:keepNext/>
        <w:keepLines/>
        <w:spacing w:before="0" w:beforeAutospacing="0" w:after="0" w:afterAutospacing="0"/>
        <w:textAlignment w:val="baseline"/>
        <w:rPr>
          <w:rStyle w:val="normaltextrun"/>
          <w:rFonts w:asciiTheme="minorHAnsi" w:hAnsiTheme="minorHAnsi" w:cs="Segoe UI"/>
          <w:bCs/>
          <w:color w:val="000000"/>
          <w:sz w:val="22"/>
          <w:szCs w:val="22"/>
          <w:shd w:val="clear" w:color="auto" w:fill="FFFFFF"/>
        </w:rPr>
      </w:pPr>
      <w:r w:rsidRPr="00DC22BF">
        <w:rPr>
          <w:rStyle w:val="normaltextrun"/>
          <w:rFonts w:asciiTheme="minorHAnsi" w:hAnsiTheme="minorHAnsi" w:cs="Segoe UI"/>
          <w:noProof/>
          <w:color w:val="000000"/>
          <w:sz w:val="22"/>
          <w:szCs w:val="22"/>
          <w:shd w:val="clear" w:color="auto" w:fill="FFFFFF"/>
        </w:rPr>
        <mc:AlternateContent>
          <mc:Choice Requires="wps">
            <w:drawing>
              <wp:anchor distT="45720" distB="45720" distL="114300" distR="114300" simplePos="0" relativeHeight="251658241" behindDoc="0" locked="0" layoutInCell="1" allowOverlap="1" wp14:anchorId="1CFB7D0F" wp14:editId="13E26D49">
                <wp:simplePos x="0" y="0"/>
                <wp:positionH relativeFrom="page">
                  <wp:posOffset>4419600</wp:posOffset>
                </wp:positionH>
                <wp:positionV relativeFrom="paragraph">
                  <wp:posOffset>172720</wp:posOffset>
                </wp:positionV>
                <wp:extent cx="2714625" cy="502920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5029200"/>
                        </a:xfrm>
                        <a:prstGeom prst="rect">
                          <a:avLst/>
                        </a:prstGeom>
                        <a:solidFill>
                          <a:srgbClr val="FFFFFF"/>
                        </a:solidFill>
                        <a:ln w="9525">
                          <a:solidFill>
                            <a:srgbClr val="000000"/>
                          </a:solidFill>
                          <a:miter lim="800000"/>
                          <a:headEnd/>
                          <a:tailEnd/>
                        </a:ln>
                      </wps:spPr>
                      <wps:txbx>
                        <w:txbxContent>
                          <w:p w14:paraId="2DBEE861" w14:textId="31FA7E82" w:rsidR="00B452CC" w:rsidRPr="00592EAF" w:rsidRDefault="00F97773" w:rsidP="00592EAF">
                            <w:pPr>
                              <w:spacing w:after="0"/>
                              <w:jc w:val="center"/>
                              <w:rPr>
                                <w:b/>
                                <w:i/>
                              </w:rPr>
                            </w:pPr>
                            <w:r>
                              <w:rPr>
                                <w:b/>
                                <w:i/>
                              </w:rPr>
                              <w:t>Continuous D</w:t>
                            </w:r>
                            <w:r w:rsidR="00B452CC" w:rsidRPr="00592EAF">
                              <w:rPr>
                                <w:b/>
                                <w:i/>
                              </w:rPr>
                              <w:t>ata vs. Discrete Data</w:t>
                            </w:r>
                          </w:p>
                          <w:p w14:paraId="0FE58BB0" w14:textId="1C75AFC0" w:rsidR="00B452CC" w:rsidRPr="00592EAF" w:rsidRDefault="00B452CC" w:rsidP="00592EAF">
                            <w:pPr>
                              <w:spacing w:after="0"/>
                            </w:pPr>
                            <w:r w:rsidRPr="00592EAF">
                              <w:rPr>
                                <w:rFonts w:cstheme="minorHAnsi"/>
                              </w:rPr>
                              <w:t>Although many standards exist and are utilized to manage discrete data, these standards are not appropriate to apply to data coming from continuous sensors as a</w:t>
                            </w:r>
                            <w:r w:rsidRPr="00592EAF">
                              <w:t>dvanced monitoring data is inherently different than traditional discrete or lab sample type monitoring data. The frequency that monitoring data from these sensors is reported can be very high because there is no lab analysis needed, measurements can be taken very quickly. With telemetry techniques, these advanced monitoring systems are equipped to serve up data in almost real time.</w:t>
                            </w:r>
                          </w:p>
                          <w:p w14:paraId="742C861F" w14:textId="4A9B0AEE" w:rsidR="00B452CC" w:rsidRPr="00592EAF" w:rsidRDefault="00B452CC" w:rsidP="00DC22BF">
                            <w:r w:rsidRPr="00592EAF">
                              <w:t>The data to metadata size ratio of continuously monitored data is much larger than that of discrete data. Additionally, the metadata that needs to accompany the high frequency time value pairs of sensor data changes much less frequently than the metadata associated with discrete measurements. Changes in metadata need to be communicated on a much less frequent basis for continuously monitored sensor data, some information only needing to be communicated once.</w:t>
                            </w:r>
                          </w:p>
                          <w:p w14:paraId="360438FD" w14:textId="3BD79D26" w:rsidR="00B452CC" w:rsidRDefault="00B452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B7D0F" id="Text Box 2" o:spid="_x0000_s1027" type="#_x0000_t202" style="position:absolute;margin-left:348pt;margin-top:13.6pt;width:213.75pt;height:396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">
                <v:textbox>
                  <w:txbxContent>
                    <w:p w14:paraId="2DBEE861" w14:textId="31FA7E82" w:rsidR="00B452CC" w:rsidRPr="00592EAF" w:rsidRDefault="00F97773" w:rsidP="00592EAF">
                      <w:pPr>
                        <w:spacing w:after="0"/>
                        <w:jc w:val="center"/>
                        <w:rPr>
                          <w:b/>
                          <w:i/>
                        </w:rPr>
                      </w:pPr>
                      <w:r>
                        <w:rPr>
                          <w:b/>
                          <w:i/>
                        </w:rPr>
                        <w:t>Continuous D</w:t>
                      </w:r>
                      <w:r w:rsidR="00B452CC" w:rsidRPr="00592EAF">
                        <w:rPr>
                          <w:b/>
                          <w:i/>
                        </w:rPr>
                        <w:t>ata vs. Discrete Data</w:t>
                      </w:r>
                    </w:p>
                    <w:p w14:paraId="0FE58BB0" w14:textId="1C75AFC0" w:rsidR="00B452CC" w:rsidRPr="00592EAF" w:rsidRDefault="00B452CC" w:rsidP="00592EAF">
                      <w:pPr>
                        <w:spacing w:after="0"/>
                      </w:pPr>
                      <w:r w:rsidRPr="00592EAF">
                        <w:rPr>
                          <w:rFonts w:cstheme="minorHAnsi"/>
                        </w:rPr>
                        <w:t>Although many standards exist and are utilized to manage discrete data, these standards are not appropriate to apply to data coming from continuous sensors as a</w:t>
                      </w:r>
                      <w:r w:rsidRPr="00592EAF">
                        <w:t>dvanced monitoring data is inherently different than traditional discrete or lab sample type monitoring data. The frequency that monitoring data from these sensors is reported can be very high because there is no lab analysis needed, measurements can be taken very quickly. With telemetry techniques, these advanced monitoring systems are equipped to serve up data in almost real time.</w:t>
                      </w:r>
                    </w:p>
                    <w:p w14:paraId="742C861F" w14:textId="4A9B0AEE" w:rsidR="00B452CC" w:rsidRPr="00592EAF" w:rsidRDefault="00B452CC" w:rsidP="00DC22BF">
                      <w:r w:rsidRPr="00592EAF">
                        <w:t>The data to metadata size ratio of continuously monitored data is much larger than that of discrete data. Additionally, the metadata that needs to accompany the high frequency time value pairs of sensor data changes much less frequently than the metadata associated with discrete measurements. Changes in metadata need to be communicated on a much less frequent basis for continuously monitored sensor data, some information only needing to be communicated once.</w:t>
                      </w:r>
                    </w:p>
                    <w:p w14:paraId="360438FD" w14:textId="3BD79D26" w:rsidR="00B452CC" w:rsidRDefault="00B452CC"/>
                  </w:txbxContent>
                </v:textbox>
                <w10:wrap type="square" anchorx="page"/>
              </v:shape>
            </w:pict>
          </mc:Fallback>
        </mc:AlternateContent>
      </w:r>
    </w:p>
    <w:p w14:paraId="3AD1A6F3" w14:textId="67A20F1D" w:rsidR="00DC22BF" w:rsidRPr="00192D10" w:rsidRDefault="00DC22BF" w:rsidP="00AF1554">
      <w:pPr>
        <w:pStyle w:val="paragraph"/>
        <w:keepNext/>
        <w:keepLines/>
        <w:spacing w:before="0" w:beforeAutospacing="0" w:after="0" w:afterAutospacing="0"/>
        <w:textAlignment w:val="baseline"/>
        <w:rPr>
          <w:rStyle w:val="normaltextrun"/>
          <w:rFonts w:asciiTheme="minorHAnsi" w:hAnsiTheme="minorHAnsi" w:cs="Segoe UI"/>
          <w:color w:val="000000" w:themeColor="text1"/>
          <w:sz w:val="22"/>
          <w:szCs w:val="22"/>
        </w:rPr>
      </w:pPr>
      <w:r w:rsidRPr="00973660">
        <w:rPr>
          <w:rStyle w:val="normaltextrun"/>
          <w:rFonts w:asciiTheme="minorHAnsi" w:hAnsiTheme="minorHAnsi" w:cs="Segoe UI"/>
          <w:color w:val="000000"/>
          <w:sz w:val="22"/>
          <w:szCs w:val="22"/>
          <w:shd w:val="clear" w:color="auto" w:fill="FFFFFF"/>
        </w:rPr>
        <w:t>As part of this evaluation, the team identified a core set of data elements that any data standard would need to have.</w:t>
      </w:r>
      <w:r w:rsidR="00C674F9">
        <w:rPr>
          <w:rStyle w:val="normaltextrun"/>
          <w:rFonts w:asciiTheme="minorHAnsi" w:hAnsiTheme="minorHAnsi" w:cs="Segoe UI"/>
          <w:color w:val="000000"/>
          <w:sz w:val="22"/>
          <w:szCs w:val="22"/>
          <w:shd w:val="clear" w:color="auto" w:fill="FFFFFF"/>
        </w:rPr>
        <w:t xml:space="preserve"> </w:t>
      </w:r>
      <w:proofErr w:type="gramStart"/>
      <w:r w:rsidRPr="00973660">
        <w:rPr>
          <w:rStyle w:val="normaltextrun"/>
          <w:rFonts w:asciiTheme="minorHAnsi" w:hAnsiTheme="minorHAnsi" w:cs="Segoe UI"/>
          <w:color w:val="000000"/>
          <w:sz w:val="22"/>
          <w:szCs w:val="22"/>
          <w:shd w:val="clear" w:color="auto" w:fill="FFFFFF"/>
        </w:rPr>
        <w:t>In order to</w:t>
      </w:r>
      <w:proofErr w:type="gramEnd"/>
      <w:r w:rsidRPr="00973660">
        <w:rPr>
          <w:rStyle w:val="normaltextrun"/>
          <w:rFonts w:asciiTheme="minorHAnsi" w:hAnsiTheme="minorHAnsi" w:cs="Segoe UI"/>
          <w:color w:val="000000"/>
          <w:sz w:val="22"/>
          <w:szCs w:val="22"/>
          <w:shd w:val="clear" w:color="auto" w:fill="FFFFFF"/>
        </w:rPr>
        <w:t xml:space="preserve"> effectively distinguish between metadata and data, the team identified two types of metadata</w:t>
      </w:r>
      <w:r>
        <w:rPr>
          <w:rStyle w:val="normaltextrun"/>
          <w:rFonts w:asciiTheme="minorHAnsi" w:hAnsiTheme="minorHAnsi" w:cs="Segoe UI"/>
          <w:color w:val="000000"/>
          <w:sz w:val="22"/>
          <w:szCs w:val="22"/>
          <w:shd w:val="clear" w:color="auto" w:fill="FFFFFF"/>
        </w:rPr>
        <w:t>:</w:t>
      </w:r>
    </w:p>
    <w:p w14:paraId="17FE8635" w14:textId="77777777" w:rsidR="00DC22BF" w:rsidRPr="000007E4" w:rsidRDefault="00DC22BF" w:rsidP="00DC22BF">
      <w:pPr>
        <w:pStyle w:val="paragraph"/>
        <w:spacing w:before="0" w:beforeAutospacing="0" w:after="0" w:afterAutospacing="0"/>
        <w:textAlignment w:val="baseline"/>
        <w:rPr>
          <w:rStyle w:val="normaltextrun"/>
          <w:rFonts w:asciiTheme="minorHAnsi" w:hAnsiTheme="minorHAnsi" w:cs="Segoe UI"/>
          <w:b/>
          <w:bCs/>
          <w:color w:val="000000"/>
          <w:sz w:val="22"/>
          <w:szCs w:val="22"/>
          <w:shd w:val="clear" w:color="auto" w:fill="FFFFFF"/>
        </w:rPr>
      </w:pPr>
    </w:p>
    <w:p w14:paraId="1A6F4F23" w14:textId="3FCB849B" w:rsidR="00DC22BF" w:rsidRPr="00A21B87" w:rsidRDefault="00DC22BF" w:rsidP="00A21B87">
      <w:pPr>
        <w:pStyle w:val="paragraph"/>
        <w:spacing w:before="0" w:beforeAutospacing="0" w:after="0" w:afterAutospacing="0"/>
        <w:textAlignment w:val="baseline"/>
        <w:rPr>
          <w:rStyle w:val="normaltextrun"/>
          <w:rFonts w:asciiTheme="minorHAnsi" w:eastAsiaTheme="minorEastAsia" w:hAnsiTheme="minorHAnsi" w:cstheme="minorBidi"/>
          <w:color w:val="000000" w:themeColor="text1"/>
          <w:sz w:val="22"/>
          <w:szCs w:val="22"/>
        </w:rPr>
      </w:pPr>
      <w:r w:rsidRPr="4AC4243B">
        <w:rPr>
          <w:rFonts w:asciiTheme="minorHAnsi" w:eastAsiaTheme="minorEastAsia" w:hAnsiTheme="minorHAnsi" w:cstheme="minorBidi"/>
          <w:sz w:val="22"/>
          <w:szCs w:val="22"/>
          <w:u w:val="single"/>
        </w:rPr>
        <w:t>Metadata Tier 1</w:t>
      </w:r>
      <w:r w:rsidRPr="4AC4243B">
        <w:rPr>
          <w:rFonts w:asciiTheme="minorHAnsi" w:eastAsiaTheme="minorEastAsia" w:hAnsiTheme="minorHAnsi" w:cstheme="minorBidi"/>
          <w:sz w:val="22"/>
          <w:szCs w:val="22"/>
        </w:rPr>
        <w:t xml:space="preserve">: Identifies what kind of data </w:t>
      </w:r>
      <w:r w:rsidR="00E27733" w:rsidRPr="4AC4243B">
        <w:rPr>
          <w:rFonts w:asciiTheme="minorHAnsi" w:eastAsiaTheme="minorEastAsia" w:hAnsiTheme="minorHAnsi" w:cstheme="minorBidi"/>
          <w:sz w:val="22"/>
          <w:szCs w:val="22"/>
        </w:rPr>
        <w:t xml:space="preserve">are </w:t>
      </w:r>
      <w:r w:rsidRPr="4AC4243B">
        <w:rPr>
          <w:rFonts w:asciiTheme="minorHAnsi" w:eastAsiaTheme="minorEastAsia" w:hAnsiTheme="minorHAnsi" w:cstheme="minorBidi"/>
          <w:sz w:val="22"/>
          <w:szCs w:val="22"/>
        </w:rPr>
        <w:t>being collected and site identification information.</w:t>
      </w:r>
      <w:r w:rsidR="00C674F9" w:rsidRPr="4AC4243B">
        <w:rPr>
          <w:rFonts w:asciiTheme="minorHAnsi" w:eastAsiaTheme="minorEastAsia" w:hAnsiTheme="minorHAnsi" w:cstheme="minorBidi"/>
          <w:sz w:val="22"/>
          <w:szCs w:val="22"/>
        </w:rPr>
        <w:t xml:space="preserve"> </w:t>
      </w:r>
      <w:r w:rsidRPr="4AC4243B">
        <w:rPr>
          <w:rFonts w:asciiTheme="minorHAnsi" w:eastAsiaTheme="minorEastAsia" w:hAnsiTheme="minorHAnsi" w:cstheme="minorBidi"/>
          <w:sz w:val="22"/>
          <w:szCs w:val="22"/>
        </w:rPr>
        <w:t xml:space="preserve">Set of descriptive features: </w:t>
      </w:r>
      <w:r w:rsidRPr="4AC4243B">
        <w:rPr>
          <w:rStyle w:val="normaltextrun"/>
          <w:rFonts w:asciiTheme="minorHAnsi" w:eastAsiaTheme="minorEastAsia" w:hAnsiTheme="minorHAnsi" w:cstheme="minorBidi"/>
          <w:color w:val="000000"/>
          <w:sz w:val="22"/>
          <w:szCs w:val="22"/>
          <w:shd w:val="clear" w:color="auto" w:fill="FFFFFF"/>
        </w:rPr>
        <w:t>Station ID, Latitude, Longitude, parameters being measured, frequency of measurements, etc.</w:t>
      </w:r>
      <w:r w:rsidR="00C674F9" w:rsidRPr="4AC4243B">
        <w:rPr>
          <w:rStyle w:val="normaltextrun"/>
          <w:rFonts w:asciiTheme="minorHAnsi" w:eastAsiaTheme="minorEastAsia" w:hAnsiTheme="minorHAnsi" w:cstheme="minorBidi"/>
          <w:color w:val="000000"/>
          <w:sz w:val="22"/>
          <w:szCs w:val="22"/>
          <w:shd w:val="clear" w:color="auto" w:fill="FFFFFF"/>
        </w:rPr>
        <w:t xml:space="preserve"> </w:t>
      </w:r>
      <w:r w:rsidRPr="4AC4243B">
        <w:rPr>
          <w:rStyle w:val="normaltextrun"/>
          <w:rFonts w:asciiTheme="minorHAnsi" w:eastAsiaTheme="minorEastAsia" w:hAnsiTheme="minorHAnsi" w:cstheme="minorBidi"/>
          <w:color w:val="000000"/>
          <w:sz w:val="22"/>
          <w:szCs w:val="22"/>
          <w:shd w:val="clear" w:color="auto" w:fill="FFFFFF"/>
        </w:rPr>
        <w:t xml:space="preserve">This metadata is critical to the understanding of the data, and must be transmitted with the actual data (time/value pairs). </w:t>
      </w:r>
    </w:p>
    <w:p w14:paraId="3B3BA7D0" w14:textId="77777777" w:rsidR="00DC22BF" w:rsidRDefault="00DC22BF" w:rsidP="00DC22BF">
      <w:pPr>
        <w:pStyle w:val="paragraph"/>
        <w:spacing w:before="0" w:beforeAutospacing="0" w:after="0" w:afterAutospacing="0"/>
        <w:ind w:left="720"/>
        <w:textAlignment w:val="baseline"/>
        <w:rPr>
          <w:rFonts w:asciiTheme="minorHAnsi" w:eastAsiaTheme="minorEastAsia" w:hAnsiTheme="minorHAnsi" w:cstheme="minorBidi"/>
          <w:sz w:val="22"/>
          <w:szCs w:val="22"/>
        </w:rPr>
      </w:pPr>
    </w:p>
    <w:p w14:paraId="7AA1B5F1" w14:textId="17C91CF0" w:rsidR="00DC22BF" w:rsidRPr="00192D10" w:rsidRDefault="00DC22BF" w:rsidP="00DC22BF">
      <w:pPr>
        <w:pStyle w:val="paragraph"/>
        <w:spacing w:before="0" w:beforeAutospacing="0" w:after="0" w:afterAutospacing="0"/>
        <w:textAlignment w:val="baseline"/>
        <w:rPr>
          <w:rFonts w:asciiTheme="minorHAnsi" w:eastAsiaTheme="minorEastAsia" w:hAnsiTheme="minorHAnsi" w:cstheme="minorBidi"/>
          <w:sz w:val="22"/>
          <w:szCs w:val="22"/>
        </w:rPr>
      </w:pPr>
      <w:r w:rsidRPr="00192D10">
        <w:rPr>
          <w:rFonts w:asciiTheme="minorHAnsi" w:eastAsiaTheme="minorEastAsia" w:hAnsiTheme="minorHAnsi" w:cstheme="minorBidi"/>
          <w:sz w:val="22"/>
          <w:szCs w:val="22"/>
          <w:u w:val="single"/>
        </w:rPr>
        <w:t>Metadata Tier 2</w:t>
      </w:r>
      <w:r w:rsidRPr="5656EAD3">
        <w:rPr>
          <w:rFonts w:asciiTheme="minorHAnsi" w:eastAsiaTheme="minorEastAsia" w:hAnsiTheme="minorHAnsi" w:cstheme="minorBidi"/>
          <w:sz w:val="22"/>
          <w:szCs w:val="22"/>
        </w:rPr>
        <w:t>: Identifies the quality of data. Calibration, cleaning, maintenance</w:t>
      </w:r>
      <w:r>
        <w:rPr>
          <w:rFonts w:asciiTheme="minorHAnsi" w:eastAsiaTheme="minorEastAsia" w:hAnsiTheme="minorHAnsi" w:cstheme="minorBidi"/>
          <w:sz w:val="22"/>
          <w:szCs w:val="22"/>
        </w:rPr>
        <w:t>, frequency of data change,</w:t>
      </w:r>
      <w:r w:rsidRPr="5656EAD3">
        <w:rPr>
          <w:rFonts w:asciiTheme="minorHAnsi" w:eastAsiaTheme="minorEastAsia" w:hAnsiTheme="minorHAnsi" w:cstheme="minorBidi"/>
          <w:sz w:val="22"/>
          <w:szCs w:val="22"/>
        </w:rPr>
        <w:t xml:space="preserve"> and QAQC information.</w:t>
      </w:r>
      <w:r w:rsidR="00C674F9">
        <w:rPr>
          <w:rFonts w:asciiTheme="minorHAnsi" w:eastAsiaTheme="minorEastAsia" w:hAnsiTheme="minorHAnsi" w:cstheme="minorBidi"/>
          <w:sz w:val="22"/>
          <w:szCs w:val="22"/>
        </w:rPr>
        <w:t xml:space="preserve"> </w:t>
      </w:r>
      <w:r w:rsidRPr="5656EAD3">
        <w:rPr>
          <w:rFonts w:asciiTheme="minorHAnsi" w:eastAsiaTheme="minorEastAsia" w:hAnsiTheme="minorHAnsi" w:cstheme="minorBidi"/>
          <w:sz w:val="22"/>
          <w:szCs w:val="22"/>
        </w:rPr>
        <w:t xml:space="preserve">This metadata is valuable when discovering which </w:t>
      </w:r>
      <w:proofErr w:type="gramStart"/>
      <w:r w:rsidRPr="5656EAD3">
        <w:rPr>
          <w:rFonts w:asciiTheme="minorHAnsi" w:eastAsiaTheme="minorEastAsia" w:hAnsiTheme="minorHAnsi" w:cstheme="minorBidi"/>
          <w:sz w:val="22"/>
          <w:szCs w:val="22"/>
        </w:rPr>
        <w:t>data</w:t>
      </w:r>
      <w:proofErr w:type="gramEnd"/>
      <w:r w:rsidRPr="5656EAD3">
        <w:rPr>
          <w:rFonts w:asciiTheme="minorHAnsi" w:eastAsiaTheme="minorEastAsia" w:hAnsiTheme="minorHAnsi" w:cstheme="minorBidi"/>
          <w:sz w:val="22"/>
          <w:szCs w:val="22"/>
        </w:rPr>
        <w:t xml:space="preserve"> a user may be interested in, and screening out those data sets that they are not interested in.</w:t>
      </w:r>
      <w:r w:rsidR="00C674F9">
        <w:rPr>
          <w:rFonts w:asciiTheme="minorHAnsi" w:eastAsiaTheme="minorEastAsia" w:hAnsiTheme="minorHAnsi" w:cstheme="minorBidi"/>
          <w:sz w:val="22"/>
          <w:szCs w:val="22"/>
        </w:rPr>
        <w:t xml:space="preserve"> </w:t>
      </w:r>
      <w:r w:rsidRPr="5656EAD3">
        <w:rPr>
          <w:rFonts w:asciiTheme="minorHAnsi" w:eastAsiaTheme="minorEastAsia" w:hAnsiTheme="minorHAnsi" w:cstheme="minorBidi"/>
          <w:sz w:val="22"/>
          <w:szCs w:val="22"/>
        </w:rPr>
        <w:t>Although these data are important to understanding the quality of the data and how the data may be used, they do not necessarily always need to be included with the data.</w:t>
      </w:r>
      <w:r w:rsidR="00C674F9">
        <w:rPr>
          <w:rFonts w:asciiTheme="minorHAnsi" w:eastAsiaTheme="minorEastAsia" w:hAnsiTheme="minorHAnsi" w:cstheme="minorBidi"/>
          <w:sz w:val="22"/>
          <w:szCs w:val="22"/>
        </w:rPr>
        <w:t xml:space="preserve"> </w:t>
      </w:r>
      <w:r w:rsidRPr="5656EAD3">
        <w:rPr>
          <w:rFonts w:asciiTheme="minorHAnsi" w:eastAsiaTheme="minorEastAsia" w:hAnsiTheme="minorHAnsi" w:cstheme="minorBidi"/>
          <w:sz w:val="22"/>
          <w:szCs w:val="22"/>
        </w:rPr>
        <w:t>For example, a user could use Tier 2 metadata to discover what data sets they are interested in, and then once they know that, they could then download the data.</w:t>
      </w:r>
      <w:r w:rsidR="00C674F9">
        <w:rPr>
          <w:rFonts w:asciiTheme="minorHAnsi" w:eastAsiaTheme="minorEastAsia" w:hAnsiTheme="minorHAnsi" w:cstheme="minorBidi"/>
          <w:sz w:val="22"/>
          <w:szCs w:val="22"/>
        </w:rPr>
        <w:t xml:space="preserve"> </w:t>
      </w:r>
      <w:r w:rsidRPr="5656EAD3">
        <w:rPr>
          <w:rFonts w:asciiTheme="minorHAnsi" w:eastAsiaTheme="minorEastAsia" w:hAnsiTheme="minorHAnsi" w:cstheme="minorBidi"/>
          <w:sz w:val="22"/>
          <w:szCs w:val="22"/>
        </w:rPr>
        <w:t>This metadata was critical in making the decision, but wouldn’t necessarily need to be downloaded with the data.</w:t>
      </w:r>
    </w:p>
    <w:p w14:paraId="28CDE785" w14:textId="77777777" w:rsidR="00DC22BF" w:rsidRDefault="00DC22BF" w:rsidP="00DC22BF">
      <w:pPr>
        <w:pStyle w:val="paragraph"/>
        <w:spacing w:before="0" w:beforeAutospacing="0" w:after="0" w:afterAutospacing="0"/>
        <w:ind w:left="720"/>
        <w:textAlignment w:val="baseline"/>
        <w:rPr>
          <w:rFonts w:asciiTheme="minorHAnsi" w:eastAsiaTheme="minorEastAsia" w:hAnsiTheme="minorHAnsi" w:cstheme="minorBidi"/>
          <w:sz w:val="22"/>
          <w:szCs w:val="22"/>
        </w:rPr>
      </w:pPr>
    </w:p>
    <w:p w14:paraId="0CA26696" w14:textId="77777777" w:rsidR="00EB663C" w:rsidRPr="00A21B87" w:rsidRDefault="00EB663C" w:rsidP="00A21B87">
      <w:pPr>
        <w:pStyle w:val="paragraph"/>
        <w:spacing w:before="0" w:beforeAutospacing="0" w:after="0" w:afterAutospacing="0"/>
        <w:textAlignment w:val="baseline"/>
        <w:rPr>
          <w:rFonts w:asciiTheme="minorHAnsi" w:eastAsiaTheme="minorEastAsia" w:hAnsiTheme="minorHAnsi" w:cstheme="minorBidi"/>
          <w:sz w:val="22"/>
          <w:szCs w:val="22"/>
        </w:rPr>
      </w:pPr>
      <w:r w:rsidRPr="4AC4243B">
        <w:rPr>
          <w:rFonts w:asciiTheme="minorHAnsi" w:eastAsiaTheme="minorEastAsia" w:hAnsiTheme="minorHAnsi" w:cstheme="minorBidi"/>
          <w:sz w:val="22"/>
          <w:szCs w:val="22"/>
        </w:rPr>
        <w:t xml:space="preserve">For the purposes of this report, the team focused exclusively on core data elements and the Tier 1 metadata. The team plans to evaluate Tier 2 metadata in a follow-on report. The list below identifies </w:t>
      </w:r>
      <w:proofErr w:type="gramStart"/>
      <w:r w:rsidRPr="4AC4243B">
        <w:rPr>
          <w:rFonts w:asciiTheme="minorHAnsi" w:eastAsiaTheme="minorEastAsia" w:hAnsiTheme="minorHAnsi" w:cstheme="minorBidi"/>
          <w:sz w:val="22"/>
          <w:szCs w:val="22"/>
        </w:rPr>
        <w:t>a number of</w:t>
      </w:r>
      <w:proofErr w:type="gramEnd"/>
      <w:r w:rsidRPr="4AC4243B">
        <w:rPr>
          <w:rFonts w:asciiTheme="minorHAnsi" w:eastAsiaTheme="minorEastAsia" w:hAnsiTheme="minorHAnsi" w:cstheme="minorBidi"/>
          <w:sz w:val="22"/>
          <w:szCs w:val="22"/>
        </w:rPr>
        <w:t xml:space="preserve"> potential core data element concepts. The element names are defined in each standard that was evaluated, and the actual name could vary depending on the standard. The important point is to know </w:t>
      </w:r>
      <w:proofErr w:type="gramStart"/>
      <w:r w:rsidRPr="4AC4243B">
        <w:rPr>
          <w:rFonts w:asciiTheme="minorHAnsi" w:eastAsiaTheme="minorEastAsia" w:hAnsiTheme="minorHAnsi" w:cstheme="minorBidi"/>
          <w:sz w:val="22"/>
          <w:szCs w:val="22"/>
        </w:rPr>
        <w:t>whether or not</w:t>
      </w:r>
      <w:proofErr w:type="gramEnd"/>
      <w:r w:rsidRPr="4AC4243B">
        <w:rPr>
          <w:rFonts w:asciiTheme="minorHAnsi" w:eastAsiaTheme="minorEastAsia" w:hAnsiTheme="minorHAnsi" w:cstheme="minorBidi"/>
          <w:sz w:val="22"/>
          <w:szCs w:val="22"/>
        </w:rPr>
        <w:t xml:space="preserve"> the standard could capture the concept. Having a common name is certainly important, and would be a critical piece of the recommended standard, but </w:t>
      </w:r>
      <w:proofErr w:type="gramStart"/>
      <w:r w:rsidRPr="4AC4243B">
        <w:rPr>
          <w:rFonts w:asciiTheme="minorHAnsi" w:eastAsiaTheme="minorEastAsia" w:hAnsiTheme="minorHAnsi" w:cstheme="minorBidi"/>
          <w:sz w:val="22"/>
          <w:szCs w:val="22"/>
        </w:rPr>
        <w:t>for the purpose of</w:t>
      </w:r>
      <w:proofErr w:type="gramEnd"/>
      <w:r w:rsidRPr="4AC4243B">
        <w:rPr>
          <w:rFonts w:asciiTheme="minorHAnsi" w:eastAsiaTheme="minorEastAsia" w:hAnsiTheme="minorHAnsi" w:cstheme="minorBidi"/>
          <w:sz w:val="22"/>
          <w:szCs w:val="22"/>
        </w:rPr>
        <w:t xml:space="preserve"> evaluating these standards is not necessary.</w:t>
      </w:r>
    </w:p>
    <w:p w14:paraId="3A1A549E" w14:textId="3E80DF1B" w:rsidR="00DC22BF" w:rsidRDefault="00DC22BF" w:rsidP="00DC22BF">
      <w:pPr>
        <w:pStyle w:val="paragraph"/>
        <w:spacing w:before="0" w:beforeAutospacing="0" w:after="0" w:afterAutospacing="0"/>
        <w:textAlignment w:val="baseline"/>
        <w:rPr>
          <w:rFonts w:asciiTheme="minorHAnsi" w:eastAsiaTheme="minorEastAsia" w:hAnsiTheme="minorHAnsi" w:cstheme="minorBidi"/>
          <w:sz w:val="22"/>
          <w:szCs w:val="22"/>
        </w:rPr>
      </w:pPr>
    </w:p>
    <w:p w14:paraId="70FBE5B9" w14:textId="513531D6" w:rsidR="004A7BBF" w:rsidRPr="00A21B87" w:rsidRDefault="00EB663C" w:rsidP="00A21B87">
      <w:pPr>
        <w:pStyle w:val="paragraph"/>
        <w:spacing w:before="0" w:beforeAutospacing="0" w:after="0" w:afterAutospacing="0"/>
        <w:textAlignment w:val="baseline"/>
        <w:rPr>
          <w:rFonts w:asciiTheme="minorHAnsi" w:eastAsiaTheme="minorEastAsia" w:hAnsiTheme="minorHAnsi" w:cstheme="minorBidi"/>
          <w:b/>
          <w:bCs/>
          <w:sz w:val="22"/>
          <w:szCs w:val="22"/>
        </w:rPr>
      </w:pPr>
      <w:r w:rsidRPr="008F5C96">
        <w:rPr>
          <w:rFonts w:asciiTheme="minorHAnsi" w:eastAsiaTheme="minorEastAsia" w:hAnsiTheme="minorHAnsi" w:cstheme="minorBidi"/>
          <w:b/>
          <w:bCs/>
          <w:sz w:val="22"/>
          <w:szCs w:val="22"/>
        </w:rPr>
        <w:t xml:space="preserve">Potential </w:t>
      </w:r>
      <w:r w:rsidR="004A7BBF" w:rsidRPr="008F5C96">
        <w:rPr>
          <w:rFonts w:asciiTheme="minorHAnsi" w:eastAsiaTheme="minorEastAsia" w:hAnsiTheme="minorHAnsi" w:cstheme="minorBidi"/>
          <w:b/>
          <w:bCs/>
          <w:sz w:val="22"/>
          <w:szCs w:val="22"/>
        </w:rPr>
        <w:t>Core Data Element Concepts</w:t>
      </w:r>
    </w:p>
    <w:p w14:paraId="00C5C15A" w14:textId="7A7EBD8C" w:rsidR="00EB663C" w:rsidRDefault="00EB663C" w:rsidP="00DC22BF">
      <w:pPr>
        <w:pStyle w:val="paragraph"/>
        <w:spacing w:before="0" w:beforeAutospacing="0" w:after="0" w:afterAutospacing="0"/>
        <w:textAlignment w:val="baseline"/>
        <w:rPr>
          <w:rFonts w:asciiTheme="minorHAnsi" w:eastAsiaTheme="minorEastAsia" w:hAnsiTheme="minorHAnsi" w:cstheme="minorBidi"/>
          <w:b/>
          <w:sz w:val="22"/>
          <w:szCs w:val="22"/>
        </w:rPr>
      </w:pPr>
    </w:p>
    <w:p w14:paraId="5857034F" w14:textId="77777777" w:rsidR="00EB663C" w:rsidRPr="00A21B87" w:rsidRDefault="00EB663C" w:rsidP="00A21B87">
      <w:pPr>
        <w:pStyle w:val="paragraph"/>
        <w:spacing w:before="0" w:beforeAutospacing="0" w:after="0" w:afterAutospacing="0"/>
        <w:textAlignment w:val="baseline"/>
        <w:rPr>
          <w:rFonts w:asciiTheme="minorHAnsi" w:eastAsiaTheme="minorEastAsia" w:hAnsiTheme="minorHAnsi" w:cstheme="minorBidi"/>
          <w:sz w:val="22"/>
          <w:szCs w:val="22"/>
        </w:rPr>
      </w:pPr>
      <w:r w:rsidRPr="008F5C96">
        <w:rPr>
          <w:rFonts w:asciiTheme="minorHAnsi" w:eastAsiaTheme="minorEastAsia" w:hAnsiTheme="minorHAnsi" w:cstheme="minorBidi"/>
          <w:b/>
          <w:bCs/>
          <w:sz w:val="22"/>
          <w:szCs w:val="22"/>
        </w:rPr>
        <w:t>Value</w:t>
      </w:r>
      <w:r w:rsidRPr="4AC4243B">
        <w:rPr>
          <w:rFonts w:asciiTheme="minorHAnsi" w:eastAsiaTheme="minorEastAsia" w:hAnsiTheme="minorHAnsi" w:cstheme="minorBidi"/>
          <w:sz w:val="22"/>
          <w:szCs w:val="22"/>
        </w:rPr>
        <w:t>: The actual measured or derived value that is being reported.</w:t>
      </w:r>
    </w:p>
    <w:p w14:paraId="1D26C8F7" w14:textId="77777777" w:rsidR="00EB663C" w:rsidRPr="00A21B87" w:rsidRDefault="00EB663C" w:rsidP="00A21B87">
      <w:pPr>
        <w:pStyle w:val="paragraph"/>
        <w:spacing w:before="0" w:beforeAutospacing="0" w:after="0" w:afterAutospacing="0"/>
        <w:textAlignment w:val="baseline"/>
        <w:rPr>
          <w:rFonts w:asciiTheme="minorHAnsi" w:eastAsiaTheme="minorEastAsia" w:hAnsiTheme="minorHAnsi" w:cstheme="minorBidi"/>
          <w:sz w:val="22"/>
          <w:szCs w:val="22"/>
        </w:rPr>
      </w:pPr>
      <w:r w:rsidRPr="008F5C96">
        <w:rPr>
          <w:rFonts w:asciiTheme="minorHAnsi" w:eastAsiaTheme="minorEastAsia" w:hAnsiTheme="minorHAnsi" w:cstheme="minorBidi"/>
          <w:b/>
          <w:bCs/>
          <w:sz w:val="22"/>
          <w:szCs w:val="22"/>
        </w:rPr>
        <w:t>Date/time</w:t>
      </w:r>
      <w:r w:rsidRPr="4AC4243B">
        <w:rPr>
          <w:rFonts w:asciiTheme="minorHAnsi" w:eastAsiaTheme="minorEastAsia" w:hAnsiTheme="minorHAnsi" w:cstheme="minorBidi"/>
          <w:sz w:val="22"/>
          <w:szCs w:val="22"/>
        </w:rPr>
        <w:t>: The date and time of when the measurement was collected. Time values must include time zone offsets, and should follow standard formats.</w:t>
      </w:r>
    </w:p>
    <w:p w14:paraId="73F86858" w14:textId="77777777" w:rsidR="00EB663C" w:rsidRPr="00A21B87" w:rsidRDefault="00EB663C" w:rsidP="00A21B87">
      <w:pPr>
        <w:pStyle w:val="paragraph"/>
        <w:spacing w:before="0" w:beforeAutospacing="0" w:after="0" w:afterAutospacing="0"/>
        <w:textAlignment w:val="baseline"/>
        <w:rPr>
          <w:rFonts w:asciiTheme="minorHAnsi" w:eastAsiaTheme="minorEastAsia" w:hAnsiTheme="minorHAnsi" w:cstheme="minorBidi"/>
          <w:sz w:val="22"/>
          <w:szCs w:val="22"/>
        </w:rPr>
      </w:pPr>
      <w:r w:rsidRPr="008F5C96">
        <w:rPr>
          <w:rFonts w:asciiTheme="minorHAnsi" w:eastAsiaTheme="minorEastAsia" w:hAnsiTheme="minorHAnsi" w:cstheme="minorBidi"/>
          <w:b/>
          <w:bCs/>
          <w:sz w:val="22"/>
          <w:szCs w:val="22"/>
        </w:rPr>
        <w:t>Feature</w:t>
      </w:r>
      <w:r w:rsidRPr="4AC4243B">
        <w:rPr>
          <w:rFonts w:asciiTheme="minorHAnsi" w:eastAsiaTheme="minorEastAsia" w:hAnsiTheme="minorHAnsi" w:cstheme="minorBidi"/>
          <w:sz w:val="22"/>
          <w:szCs w:val="22"/>
        </w:rPr>
        <w:t>: Feature being measured. This could be a stream, facility, Airshed, etc. Features can have their own geospatial definitions that does not need to be confined to a simple latitude/longitude point coordinate.</w:t>
      </w:r>
    </w:p>
    <w:p w14:paraId="1BC7F627" w14:textId="77777777" w:rsidR="00EB663C" w:rsidRPr="00A21B87" w:rsidRDefault="00EB663C" w:rsidP="00A21B87">
      <w:pPr>
        <w:pStyle w:val="paragraph"/>
        <w:spacing w:before="0" w:beforeAutospacing="0" w:after="0" w:afterAutospacing="0"/>
        <w:textAlignment w:val="baseline"/>
        <w:rPr>
          <w:rFonts w:asciiTheme="minorHAnsi" w:eastAsiaTheme="minorEastAsia" w:hAnsiTheme="minorHAnsi" w:cstheme="minorBidi"/>
          <w:sz w:val="22"/>
          <w:szCs w:val="22"/>
        </w:rPr>
      </w:pPr>
      <w:r w:rsidRPr="008F5C96">
        <w:rPr>
          <w:rFonts w:asciiTheme="minorHAnsi" w:eastAsiaTheme="minorEastAsia" w:hAnsiTheme="minorHAnsi" w:cstheme="minorBidi"/>
          <w:b/>
          <w:bCs/>
          <w:sz w:val="22"/>
          <w:szCs w:val="22"/>
        </w:rPr>
        <w:t>Feature Name</w:t>
      </w:r>
      <w:r w:rsidRPr="4AC4243B">
        <w:rPr>
          <w:rFonts w:asciiTheme="minorHAnsi" w:eastAsiaTheme="minorEastAsia" w:hAnsiTheme="minorHAnsi" w:cstheme="minorBidi"/>
          <w:sz w:val="22"/>
          <w:szCs w:val="22"/>
        </w:rPr>
        <w:t>: The name of the feature being measured. This simplifies the discovery of the data by others.</w:t>
      </w:r>
    </w:p>
    <w:p w14:paraId="613AE525" w14:textId="77777777" w:rsidR="00EB663C" w:rsidRPr="00A21B87" w:rsidRDefault="00EB663C" w:rsidP="00A21B87">
      <w:pPr>
        <w:pStyle w:val="paragraph"/>
        <w:spacing w:before="0" w:beforeAutospacing="0" w:after="0" w:afterAutospacing="0"/>
        <w:textAlignment w:val="baseline"/>
        <w:rPr>
          <w:rFonts w:asciiTheme="minorHAnsi" w:eastAsiaTheme="minorEastAsia" w:hAnsiTheme="minorHAnsi" w:cstheme="minorBidi"/>
          <w:sz w:val="22"/>
          <w:szCs w:val="22"/>
        </w:rPr>
      </w:pPr>
      <w:r w:rsidRPr="008F5C96">
        <w:rPr>
          <w:rFonts w:asciiTheme="minorHAnsi" w:eastAsiaTheme="minorEastAsia" w:hAnsiTheme="minorHAnsi" w:cstheme="minorBidi"/>
          <w:b/>
          <w:bCs/>
          <w:sz w:val="22"/>
          <w:szCs w:val="22"/>
        </w:rPr>
        <w:t>Feature Identifier</w:t>
      </w:r>
      <w:r w:rsidRPr="4AC4243B">
        <w:rPr>
          <w:rFonts w:asciiTheme="minorHAnsi" w:eastAsiaTheme="minorEastAsia" w:hAnsiTheme="minorHAnsi" w:cstheme="minorBidi"/>
          <w:sz w:val="22"/>
          <w:szCs w:val="22"/>
        </w:rPr>
        <w:t>: A unique identifier for the feature. This simplifies the ability to retrieve data for that feature through services.</w:t>
      </w:r>
    </w:p>
    <w:p w14:paraId="2B75B860" w14:textId="77777777" w:rsidR="00EB663C" w:rsidRPr="00A21B87" w:rsidRDefault="00EB663C" w:rsidP="00A21B87">
      <w:pPr>
        <w:pStyle w:val="paragraph"/>
        <w:spacing w:before="0" w:beforeAutospacing="0" w:after="0" w:afterAutospacing="0"/>
        <w:textAlignment w:val="baseline"/>
        <w:rPr>
          <w:rFonts w:asciiTheme="minorHAnsi" w:eastAsiaTheme="minorEastAsia" w:hAnsiTheme="minorHAnsi" w:cstheme="minorBidi"/>
          <w:sz w:val="22"/>
          <w:szCs w:val="22"/>
        </w:rPr>
      </w:pPr>
      <w:r w:rsidRPr="008F5C96">
        <w:rPr>
          <w:rFonts w:asciiTheme="minorHAnsi" w:eastAsiaTheme="minorEastAsia" w:hAnsiTheme="minorHAnsi" w:cstheme="minorBidi"/>
          <w:b/>
          <w:bCs/>
          <w:sz w:val="22"/>
          <w:szCs w:val="22"/>
        </w:rPr>
        <w:t>Feature Location</w:t>
      </w:r>
      <w:r w:rsidRPr="4AC4243B">
        <w:rPr>
          <w:rFonts w:asciiTheme="minorHAnsi" w:eastAsiaTheme="minorEastAsia" w:hAnsiTheme="minorHAnsi" w:cstheme="minorBidi"/>
          <w:sz w:val="22"/>
          <w:szCs w:val="22"/>
        </w:rPr>
        <w:t>: In most cases, this will be a latitude/longitude coordinate pair, but could be lines or polygons.</w:t>
      </w:r>
    </w:p>
    <w:p w14:paraId="5E2EFEFC" w14:textId="77777777" w:rsidR="00EB663C" w:rsidRPr="00A21B87" w:rsidRDefault="00EB663C" w:rsidP="00A21B87">
      <w:pPr>
        <w:pStyle w:val="paragraph"/>
        <w:spacing w:before="0" w:beforeAutospacing="0" w:after="0" w:afterAutospacing="0"/>
        <w:textAlignment w:val="baseline"/>
        <w:rPr>
          <w:rFonts w:asciiTheme="minorHAnsi" w:eastAsiaTheme="minorEastAsia" w:hAnsiTheme="minorHAnsi" w:cstheme="minorBidi"/>
          <w:sz w:val="22"/>
          <w:szCs w:val="22"/>
        </w:rPr>
      </w:pPr>
      <w:r w:rsidRPr="008F5C96">
        <w:rPr>
          <w:rFonts w:asciiTheme="minorHAnsi" w:eastAsiaTheme="minorEastAsia" w:hAnsiTheme="minorHAnsi" w:cstheme="minorBidi"/>
          <w:b/>
          <w:bCs/>
          <w:sz w:val="22"/>
          <w:szCs w:val="22"/>
        </w:rPr>
        <w:lastRenderedPageBreak/>
        <w:t>Parameter</w:t>
      </w:r>
      <w:r w:rsidRPr="4AC4243B">
        <w:rPr>
          <w:rFonts w:asciiTheme="minorHAnsi" w:eastAsiaTheme="minorEastAsia" w:hAnsiTheme="minorHAnsi" w:cstheme="minorBidi"/>
          <w:sz w:val="22"/>
          <w:szCs w:val="22"/>
        </w:rPr>
        <w:t>: The actual parameter being measured or derived.</w:t>
      </w:r>
    </w:p>
    <w:p w14:paraId="4BF8E7A8" w14:textId="77777777" w:rsidR="00EB663C" w:rsidRPr="00A21B87" w:rsidRDefault="00EB663C" w:rsidP="00A21B87">
      <w:pPr>
        <w:pStyle w:val="paragraph"/>
        <w:spacing w:before="0" w:beforeAutospacing="0" w:after="0" w:afterAutospacing="0"/>
        <w:textAlignment w:val="baseline"/>
        <w:rPr>
          <w:rFonts w:asciiTheme="minorHAnsi" w:eastAsiaTheme="minorEastAsia" w:hAnsiTheme="minorHAnsi" w:cstheme="minorBidi"/>
          <w:sz w:val="22"/>
          <w:szCs w:val="22"/>
        </w:rPr>
      </w:pPr>
      <w:r w:rsidRPr="008F5C96">
        <w:rPr>
          <w:rFonts w:asciiTheme="minorHAnsi" w:eastAsiaTheme="minorEastAsia" w:hAnsiTheme="minorHAnsi" w:cstheme="minorBidi"/>
          <w:b/>
          <w:bCs/>
          <w:sz w:val="22"/>
          <w:szCs w:val="22"/>
        </w:rPr>
        <w:t>Units</w:t>
      </w:r>
      <w:r w:rsidRPr="4AC4243B">
        <w:rPr>
          <w:rFonts w:asciiTheme="minorHAnsi" w:eastAsiaTheme="minorEastAsia" w:hAnsiTheme="minorHAnsi" w:cstheme="minorBidi"/>
          <w:sz w:val="22"/>
          <w:szCs w:val="22"/>
        </w:rPr>
        <w:t>: The unit of measure describing the value.</w:t>
      </w:r>
    </w:p>
    <w:p w14:paraId="6B3AA855" w14:textId="26DBF744" w:rsidR="00EB663C" w:rsidRPr="00A21B87" w:rsidRDefault="00EB663C" w:rsidP="00A21B87">
      <w:pPr>
        <w:pStyle w:val="paragraph"/>
        <w:spacing w:before="0" w:beforeAutospacing="0" w:after="0" w:afterAutospacing="0"/>
        <w:textAlignment w:val="baseline"/>
        <w:rPr>
          <w:rFonts w:asciiTheme="minorHAnsi" w:eastAsiaTheme="minorEastAsia" w:hAnsiTheme="minorHAnsi" w:cstheme="minorBidi"/>
          <w:sz w:val="22"/>
          <w:szCs w:val="22"/>
        </w:rPr>
      </w:pPr>
      <w:r w:rsidRPr="008F5C96">
        <w:rPr>
          <w:rFonts w:asciiTheme="minorHAnsi" w:eastAsiaTheme="minorEastAsia" w:hAnsiTheme="minorHAnsi" w:cstheme="minorBidi"/>
          <w:b/>
          <w:bCs/>
          <w:sz w:val="22"/>
          <w:szCs w:val="22"/>
        </w:rPr>
        <w:t>Qualifier Code</w:t>
      </w:r>
      <w:r w:rsidRPr="4AC4243B">
        <w:rPr>
          <w:rFonts w:asciiTheme="minorHAnsi" w:eastAsiaTheme="minorEastAsia" w:hAnsiTheme="minorHAnsi" w:cstheme="minorBidi"/>
          <w:sz w:val="22"/>
          <w:szCs w:val="22"/>
        </w:rPr>
        <w:t>: A code qualifying the measure (i.e. Raw, Preliminary, Final).</w:t>
      </w:r>
    </w:p>
    <w:p w14:paraId="4A14F3ED" w14:textId="77777777" w:rsidR="004A7BBF" w:rsidRPr="004A7BBF" w:rsidRDefault="004A7BBF" w:rsidP="00DC22BF">
      <w:pPr>
        <w:pStyle w:val="paragraph"/>
        <w:spacing w:before="0" w:beforeAutospacing="0" w:after="0" w:afterAutospacing="0"/>
        <w:textAlignment w:val="baseline"/>
        <w:rPr>
          <w:rFonts w:asciiTheme="minorHAnsi" w:eastAsiaTheme="minorEastAsia" w:hAnsiTheme="minorHAnsi" w:cstheme="minorBidi"/>
          <w:b/>
          <w:sz w:val="22"/>
          <w:szCs w:val="22"/>
        </w:rPr>
      </w:pPr>
    </w:p>
    <w:p w14:paraId="10CDEA9D" w14:textId="4A6BE401" w:rsidR="00DC22BF" w:rsidRDefault="00986B2C" w:rsidP="00AF1554">
      <w:pPr>
        <w:pStyle w:val="Heading2"/>
        <w:rPr>
          <w:rFonts w:eastAsiaTheme="minorEastAsia"/>
        </w:rPr>
      </w:pPr>
      <w:r>
        <w:t xml:space="preserve">Why Are </w:t>
      </w:r>
      <w:r w:rsidR="00B452CC">
        <w:t xml:space="preserve">Data </w:t>
      </w:r>
      <w:r>
        <w:t>Standards Needed?</w:t>
      </w:r>
    </w:p>
    <w:p w14:paraId="2F7B1BDC" w14:textId="7345519E" w:rsidR="00362A83" w:rsidRPr="00A21B87" w:rsidRDefault="38B089A6">
      <w:pPr>
        <w:rPr>
          <w:rFonts w:eastAsiaTheme="minorEastAsia"/>
        </w:rPr>
      </w:pPr>
      <w:r w:rsidRPr="4AC4243B">
        <w:rPr>
          <w:rFonts w:eastAsiaTheme="minorEastAsia"/>
        </w:rPr>
        <w:t xml:space="preserve">With the proliferation of new technology, data are being collected in various formats with </w:t>
      </w:r>
      <w:r w:rsidR="603CA606" w:rsidRPr="4AC4243B">
        <w:rPr>
          <w:rFonts w:eastAsiaTheme="minorEastAsia"/>
        </w:rPr>
        <w:t>widely v</w:t>
      </w:r>
      <w:r w:rsidRPr="4AC4243B">
        <w:rPr>
          <w:rFonts w:eastAsiaTheme="minorEastAsia"/>
        </w:rPr>
        <w:t>arying levels of data quality and documentation, making it difficult to use and evaluate.</w:t>
      </w:r>
      <w:r w:rsidR="00C674F9" w:rsidRPr="4AC4243B">
        <w:rPr>
          <w:rFonts w:eastAsiaTheme="minorEastAsia"/>
        </w:rPr>
        <w:t xml:space="preserve"> </w:t>
      </w:r>
      <w:r w:rsidR="78134C8A" w:rsidRPr="4AC4243B">
        <w:rPr>
          <w:rFonts w:eastAsiaTheme="minorEastAsia"/>
        </w:rPr>
        <w:t>This circumstance o</w:t>
      </w:r>
      <w:r w:rsidRPr="4AC4243B">
        <w:rPr>
          <w:rFonts w:eastAsiaTheme="minorEastAsia"/>
        </w:rPr>
        <w:t>ften requir</w:t>
      </w:r>
      <w:r w:rsidR="78134C8A" w:rsidRPr="4AC4243B">
        <w:rPr>
          <w:rFonts w:eastAsiaTheme="minorEastAsia"/>
        </w:rPr>
        <w:t>es</w:t>
      </w:r>
      <w:r w:rsidR="20D8F498" w:rsidRPr="4AC4243B">
        <w:rPr>
          <w:rFonts w:eastAsiaTheme="minorEastAsia"/>
        </w:rPr>
        <w:t xml:space="preserve"> a</w:t>
      </w:r>
      <w:r w:rsidRPr="4AC4243B">
        <w:rPr>
          <w:rFonts w:eastAsiaTheme="minorEastAsia"/>
        </w:rPr>
        <w:t xml:space="preserve"> significant effort in data wrangling to harmoniz</w:t>
      </w:r>
      <w:r w:rsidR="20D8F498" w:rsidRPr="4AC4243B">
        <w:rPr>
          <w:rFonts w:eastAsiaTheme="minorEastAsia"/>
        </w:rPr>
        <w:t>e</w:t>
      </w:r>
      <w:r w:rsidR="69C25CA2" w:rsidRPr="4AC4243B">
        <w:rPr>
          <w:rFonts w:eastAsiaTheme="minorEastAsia"/>
        </w:rPr>
        <w:t xml:space="preserve"> </w:t>
      </w:r>
      <w:r w:rsidRPr="4AC4243B">
        <w:rPr>
          <w:rFonts w:eastAsiaTheme="minorEastAsia"/>
        </w:rPr>
        <w:t>data from multiple sources into a consistent format for analysis.</w:t>
      </w:r>
      <w:r w:rsidR="00C674F9" w:rsidRPr="4AC4243B">
        <w:rPr>
          <w:rFonts w:eastAsiaTheme="minorEastAsia"/>
        </w:rPr>
        <w:t xml:space="preserve"> </w:t>
      </w:r>
      <w:r w:rsidR="481B88E3" w:rsidRPr="3470EE40">
        <w:t>I</w:t>
      </w:r>
      <w:r w:rsidR="481B88E3" w:rsidRPr="4AC4243B">
        <w:rPr>
          <w:rFonts w:eastAsiaTheme="minorEastAsia"/>
        </w:rPr>
        <w:t>n an ever increasingly</w:t>
      </w:r>
      <w:r w:rsidR="691E2186" w:rsidRPr="4AC4243B">
        <w:rPr>
          <w:rFonts w:eastAsiaTheme="minorEastAsia"/>
        </w:rPr>
        <w:t xml:space="preserve"> data driven world, th</w:t>
      </w:r>
      <w:r w:rsidR="194694BF" w:rsidRPr="4AC4243B">
        <w:rPr>
          <w:rFonts w:eastAsiaTheme="minorEastAsia"/>
        </w:rPr>
        <w:t>is recogn</w:t>
      </w:r>
      <w:r w:rsidR="691E2186" w:rsidRPr="4AC4243B">
        <w:rPr>
          <w:rFonts w:eastAsiaTheme="minorEastAsia"/>
        </w:rPr>
        <w:t xml:space="preserve">ition </w:t>
      </w:r>
      <w:r w:rsidR="4E597CE3" w:rsidRPr="4AC4243B">
        <w:rPr>
          <w:rFonts w:eastAsiaTheme="minorEastAsia"/>
        </w:rPr>
        <w:t>has l</w:t>
      </w:r>
      <w:r w:rsidR="6F57A839" w:rsidRPr="4AC4243B">
        <w:rPr>
          <w:rFonts w:eastAsiaTheme="minorEastAsia"/>
        </w:rPr>
        <w:t xml:space="preserve">ed to a call </w:t>
      </w:r>
      <w:r w:rsidR="691E2186" w:rsidRPr="4AC4243B">
        <w:rPr>
          <w:rFonts w:eastAsiaTheme="minorEastAsia"/>
        </w:rPr>
        <w:t xml:space="preserve">for data </w:t>
      </w:r>
      <w:r w:rsidR="3470EE40" w:rsidRPr="4AC4243B">
        <w:rPr>
          <w:rFonts w:eastAsiaTheme="minorEastAsia"/>
        </w:rPr>
        <w:t xml:space="preserve">to </w:t>
      </w:r>
      <w:r w:rsidR="5F02628E" w:rsidRPr="4AC4243B">
        <w:rPr>
          <w:rFonts w:eastAsiaTheme="minorEastAsia"/>
        </w:rPr>
        <w:t>a</w:t>
      </w:r>
      <w:r w:rsidR="090F4B56" w:rsidRPr="4AC4243B">
        <w:rPr>
          <w:rFonts w:eastAsiaTheme="minorEastAsia"/>
        </w:rPr>
        <w:t>dh</w:t>
      </w:r>
      <w:r w:rsidR="6C9DD3CE" w:rsidRPr="4AC4243B">
        <w:rPr>
          <w:rFonts w:eastAsiaTheme="minorEastAsia"/>
        </w:rPr>
        <w:t>ere to the FAIR principle</w:t>
      </w:r>
      <w:r w:rsidR="00362A83" w:rsidRPr="4AC4243B">
        <w:rPr>
          <w:rFonts w:eastAsiaTheme="minorEastAsia"/>
        </w:rPr>
        <w:t>:</w:t>
      </w:r>
    </w:p>
    <w:p w14:paraId="2F67CC17" w14:textId="688B45E7" w:rsidR="00362A83" w:rsidRPr="00A21B87" w:rsidRDefault="00362A83" w:rsidP="00A21B87">
      <w:pPr>
        <w:pStyle w:val="ListParagraph"/>
        <w:numPr>
          <w:ilvl w:val="0"/>
          <w:numId w:val="26"/>
        </w:numPr>
        <w:rPr>
          <w:rFonts w:eastAsiaTheme="minorEastAsia"/>
        </w:rPr>
      </w:pPr>
      <w:r w:rsidRPr="00A21B87">
        <w:rPr>
          <w:rFonts w:eastAsiaTheme="minorEastAsia"/>
          <w:b/>
          <w:bCs/>
        </w:rPr>
        <w:t>F</w:t>
      </w:r>
      <w:r w:rsidRPr="4AC4243B">
        <w:rPr>
          <w:rFonts w:eastAsiaTheme="minorEastAsia"/>
        </w:rPr>
        <w:t>indable</w:t>
      </w:r>
    </w:p>
    <w:p w14:paraId="128BCC7E" w14:textId="772AF46B" w:rsidR="00362A83" w:rsidRPr="00A21B87" w:rsidRDefault="00362A83" w:rsidP="00A21B87">
      <w:pPr>
        <w:pStyle w:val="ListParagraph"/>
        <w:numPr>
          <w:ilvl w:val="0"/>
          <w:numId w:val="26"/>
        </w:numPr>
        <w:rPr>
          <w:rFonts w:eastAsiaTheme="minorEastAsia"/>
        </w:rPr>
      </w:pPr>
      <w:r w:rsidRPr="00A21B87">
        <w:rPr>
          <w:rFonts w:eastAsiaTheme="minorEastAsia"/>
          <w:b/>
          <w:bCs/>
        </w:rPr>
        <w:t>A</w:t>
      </w:r>
      <w:r w:rsidRPr="4AC4243B">
        <w:rPr>
          <w:rFonts w:eastAsiaTheme="minorEastAsia"/>
        </w:rPr>
        <w:t>ccessible</w:t>
      </w:r>
    </w:p>
    <w:p w14:paraId="0E5D965A" w14:textId="2FC9AC8A" w:rsidR="00362A83" w:rsidRPr="00A21B87" w:rsidRDefault="00362A83" w:rsidP="00A21B87">
      <w:pPr>
        <w:pStyle w:val="ListParagraph"/>
        <w:numPr>
          <w:ilvl w:val="0"/>
          <w:numId w:val="26"/>
        </w:numPr>
        <w:rPr>
          <w:rFonts w:eastAsiaTheme="minorEastAsia"/>
        </w:rPr>
      </w:pPr>
      <w:r w:rsidRPr="00A21B87">
        <w:rPr>
          <w:rFonts w:eastAsiaTheme="minorEastAsia"/>
          <w:b/>
          <w:bCs/>
        </w:rPr>
        <w:t>I</w:t>
      </w:r>
      <w:r w:rsidRPr="4AC4243B">
        <w:rPr>
          <w:rFonts w:eastAsiaTheme="minorEastAsia"/>
        </w:rPr>
        <w:t>nteroperable</w:t>
      </w:r>
    </w:p>
    <w:p w14:paraId="2988E456" w14:textId="7D96F5E3" w:rsidR="00362A83" w:rsidRPr="00A21B87" w:rsidRDefault="00362A83" w:rsidP="00A21B87">
      <w:pPr>
        <w:pStyle w:val="ListParagraph"/>
        <w:numPr>
          <w:ilvl w:val="0"/>
          <w:numId w:val="26"/>
        </w:numPr>
        <w:rPr>
          <w:rFonts w:eastAsiaTheme="minorEastAsia"/>
        </w:rPr>
      </w:pPr>
      <w:r w:rsidRPr="00A21B87">
        <w:rPr>
          <w:rFonts w:eastAsiaTheme="minorEastAsia"/>
          <w:b/>
          <w:bCs/>
        </w:rPr>
        <w:t>R</w:t>
      </w:r>
      <w:r w:rsidRPr="4AC4243B">
        <w:rPr>
          <w:rFonts w:eastAsiaTheme="minorEastAsia"/>
        </w:rPr>
        <w:t>e-usable</w:t>
      </w:r>
    </w:p>
    <w:p w14:paraId="486691A6" w14:textId="0330DC38" w:rsidR="481B88E3" w:rsidRPr="00192D10" w:rsidDel="795F4A94" w:rsidRDefault="5DBC02B2">
      <w:pPr>
        <w:rPr>
          <w:rFonts w:eastAsiaTheme="minorEastAsia"/>
        </w:rPr>
      </w:pPr>
      <w:r w:rsidRPr="00A21B87">
        <w:rPr>
          <w:rFonts w:eastAsiaTheme="minorEastAsia"/>
          <w:b/>
        </w:rPr>
        <w:t>Finda</w:t>
      </w:r>
      <w:r w:rsidR="253EA5AA" w:rsidRPr="00A21B87">
        <w:rPr>
          <w:rFonts w:eastAsiaTheme="minorEastAsia"/>
          <w:b/>
        </w:rPr>
        <w:t>bl</w:t>
      </w:r>
      <w:r w:rsidRPr="00A21B87">
        <w:rPr>
          <w:rFonts w:eastAsiaTheme="minorEastAsia"/>
          <w:b/>
        </w:rPr>
        <w:t>e</w:t>
      </w:r>
      <w:r w:rsidRPr="00192D10">
        <w:rPr>
          <w:rFonts w:eastAsiaTheme="minorEastAsia"/>
        </w:rPr>
        <w:t xml:space="preserve"> implies that </w:t>
      </w:r>
      <w:r w:rsidR="403F9F8F" w:rsidRPr="00192D10">
        <w:rPr>
          <w:rFonts w:eastAsiaTheme="minorEastAsia"/>
        </w:rPr>
        <w:t>d</w:t>
      </w:r>
      <w:r w:rsidR="142E65F9" w:rsidRPr="00192D10">
        <w:rPr>
          <w:rFonts w:eastAsiaTheme="minorEastAsia"/>
        </w:rPr>
        <w:t>ata and metadata are ascribed w</w:t>
      </w:r>
      <w:r w:rsidR="14A7E24E" w:rsidRPr="00192D10">
        <w:rPr>
          <w:rFonts w:eastAsiaTheme="minorEastAsia"/>
        </w:rPr>
        <w:t>ith globally and eternally persistent unique identifiers</w:t>
      </w:r>
      <w:r w:rsidR="48D51B28" w:rsidRPr="00192D10">
        <w:rPr>
          <w:rFonts w:eastAsiaTheme="minorEastAsia"/>
        </w:rPr>
        <w:t>.</w:t>
      </w:r>
      <w:r w:rsidR="00C674F9">
        <w:rPr>
          <w:rFonts w:eastAsiaTheme="minorEastAsia"/>
        </w:rPr>
        <w:t xml:space="preserve"> </w:t>
      </w:r>
      <w:r w:rsidR="79FDBCBE" w:rsidRPr="00192D10">
        <w:rPr>
          <w:rFonts w:eastAsiaTheme="minorEastAsia"/>
        </w:rPr>
        <w:t xml:space="preserve">To be </w:t>
      </w:r>
      <w:r w:rsidR="79FDBCBE" w:rsidRPr="00A21B87">
        <w:rPr>
          <w:rFonts w:eastAsiaTheme="minorEastAsia"/>
          <w:b/>
        </w:rPr>
        <w:t>accessible</w:t>
      </w:r>
      <w:r w:rsidR="79FDBCBE" w:rsidRPr="00192D10">
        <w:rPr>
          <w:rFonts w:eastAsiaTheme="minorEastAsia"/>
        </w:rPr>
        <w:t xml:space="preserve"> means that </w:t>
      </w:r>
      <w:r w:rsidR="5C2FD991" w:rsidRPr="00192D10">
        <w:rPr>
          <w:rFonts w:eastAsiaTheme="minorEastAsia"/>
        </w:rPr>
        <w:t>data and metadata are retrievable by those uniq</w:t>
      </w:r>
      <w:r w:rsidR="05148925" w:rsidRPr="00192D10">
        <w:rPr>
          <w:rFonts w:eastAsiaTheme="minorEastAsia"/>
        </w:rPr>
        <w:t xml:space="preserve">ue identifiers via commonly used </w:t>
      </w:r>
      <w:r w:rsidR="4887E730" w:rsidRPr="00192D10">
        <w:rPr>
          <w:rFonts w:eastAsiaTheme="minorEastAsia"/>
        </w:rPr>
        <w:t xml:space="preserve">internet </w:t>
      </w:r>
      <w:r w:rsidR="68F87A12" w:rsidRPr="00192D10">
        <w:rPr>
          <w:rFonts w:eastAsiaTheme="minorEastAsia"/>
        </w:rPr>
        <w:t xml:space="preserve">communication </w:t>
      </w:r>
      <w:r w:rsidR="05148925" w:rsidRPr="00192D10">
        <w:rPr>
          <w:rFonts w:eastAsiaTheme="minorEastAsia"/>
        </w:rPr>
        <w:t>protocols</w:t>
      </w:r>
      <w:r w:rsidR="4887E730" w:rsidRPr="00192D10">
        <w:rPr>
          <w:rFonts w:eastAsiaTheme="minorEastAsia"/>
        </w:rPr>
        <w:t>.</w:t>
      </w:r>
      <w:r w:rsidR="00C674F9">
        <w:rPr>
          <w:rFonts w:eastAsiaTheme="minorEastAsia"/>
        </w:rPr>
        <w:t xml:space="preserve"> </w:t>
      </w:r>
      <w:r w:rsidR="4887E730" w:rsidRPr="00A21B87">
        <w:rPr>
          <w:rFonts w:eastAsiaTheme="minorEastAsia"/>
          <w:b/>
        </w:rPr>
        <w:t>Interoperability</w:t>
      </w:r>
      <w:r w:rsidR="4887E730" w:rsidRPr="00192D10">
        <w:rPr>
          <w:rFonts w:eastAsiaTheme="minorEastAsia"/>
        </w:rPr>
        <w:t xml:space="preserve"> </w:t>
      </w:r>
      <w:r w:rsidR="4B204F05" w:rsidRPr="00192D10">
        <w:rPr>
          <w:rFonts w:eastAsiaTheme="minorEastAsia"/>
        </w:rPr>
        <w:t>deals with</w:t>
      </w:r>
      <w:r w:rsidR="379339E4" w:rsidRPr="00192D10">
        <w:rPr>
          <w:rFonts w:eastAsiaTheme="minorEastAsia"/>
        </w:rPr>
        <w:t xml:space="preserve"> ontological and semanti</w:t>
      </w:r>
      <w:r w:rsidR="7A7FEFE7" w:rsidRPr="00192D10">
        <w:rPr>
          <w:rFonts w:eastAsiaTheme="minorEastAsia"/>
        </w:rPr>
        <w:t xml:space="preserve">c consistency and involves </w:t>
      </w:r>
      <w:r w:rsidR="64B420D1" w:rsidRPr="00192D10">
        <w:rPr>
          <w:rFonts w:eastAsiaTheme="minorEastAsia"/>
        </w:rPr>
        <w:t xml:space="preserve">adhering </w:t>
      </w:r>
      <w:r w:rsidR="14990557" w:rsidRPr="00192D10">
        <w:rPr>
          <w:rFonts w:eastAsiaTheme="minorEastAsia"/>
        </w:rPr>
        <w:t xml:space="preserve">to </w:t>
      </w:r>
      <w:r w:rsidR="3B27338A" w:rsidRPr="00192D10">
        <w:rPr>
          <w:rFonts w:eastAsiaTheme="minorEastAsia"/>
        </w:rPr>
        <w:t xml:space="preserve">formally </w:t>
      </w:r>
      <w:r w:rsidR="795F4A94" w:rsidRPr="00192D10">
        <w:rPr>
          <w:rFonts w:eastAsiaTheme="minorEastAsia"/>
        </w:rPr>
        <w:t>defin</w:t>
      </w:r>
      <w:r w:rsidR="34932F02" w:rsidRPr="00192D10">
        <w:rPr>
          <w:rFonts w:eastAsiaTheme="minorEastAsia"/>
        </w:rPr>
        <w:t>ed</w:t>
      </w:r>
      <w:r w:rsidR="795F4A94" w:rsidRPr="00192D10">
        <w:rPr>
          <w:rFonts w:eastAsiaTheme="minorEastAsia"/>
        </w:rPr>
        <w:t xml:space="preserve"> </w:t>
      </w:r>
      <w:r w:rsidR="13551B9F" w:rsidRPr="00192D10">
        <w:rPr>
          <w:rFonts w:eastAsiaTheme="minorEastAsia"/>
        </w:rPr>
        <w:t>vo</w:t>
      </w:r>
      <w:r w:rsidR="3B27338A" w:rsidRPr="00192D10">
        <w:rPr>
          <w:rFonts w:eastAsiaTheme="minorEastAsia"/>
        </w:rPr>
        <w:t xml:space="preserve">cabularies </w:t>
      </w:r>
      <w:r w:rsidR="795F4A94" w:rsidRPr="00192D10">
        <w:rPr>
          <w:rFonts w:eastAsiaTheme="minorEastAsia"/>
        </w:rPr>
        <w:t xml:space="preserve">and </w:t>
      </w:r>
      <w:r w:rsidR="7A7FEFE7" w:rsidRPr="00192D10">
        <w:rPr>
          <w:rFonts w:eastAsiaTheme="minorEastAsia"/>
        </w:rPr>
        <w:t xml:space="preserve">utilizing </w:t>
      </w:r>
      <w:r w:rsidR="3B27338A" w:rsidRPr="00192D10">
        <w:rPr>
          <w:rFonts w:eastAsiaTheme="minorEastAsia"/>
        </w:rPr>
        <w:t xml:space="preserve">terminologies </w:t>
      </w:r>
      <w:r w:rsidR="14990557" w:rsidRPr="00192D10">
        <w:rPr>
          <w:rFonts w:eastAsiaTheme="minorEastAsia"/>
        </w:rPr>
        <w:t>across a domain</w:t>
      </w:r>
      <w:r w:rsidR="297CD468" w:rsidRPr="00192D10">
        <w:rPr>
          <w:rFonts w:eastAsiaTheme="minorEastAsia"/>
        </w:rPr>
        <w:t>.</w:t>
      </w:r>
      <w:r w:rsidR="00C674F9">
        <w:rPr>
          <w:rFonts w:eastAsiaTheme="minorEastAsia"/>
        </w:rPr>
        <w:t xml:space="preserve"> </w:t>
      </w:r>
      <w:r w:rsidR="00DC22BF">
        <w:rPr>
          <w:rFonts w:eastAsiaTheme="minorEastAsia"/>
        </w:rPr>
        <w:t xml:space="preserve">Achieving interoperability requires data and metadata standards. </w:t>
      </w:r>
      <w:r w:rsidR="297CD468" w:rsidRPr="00192D10">
        <w:rPr>
          <w:rFonts w:eastAsiaTheme="minorEastAsia"/>
        </w:rPr>
        <w:t>This greatly reduces th</w:t>
      </w:r>
      <w:r w:rsidR="6AFCF3AE" w:rsidRPr="00192D10">
        <w:rPr>
          <w:rFonts w:eastAsiaTheme="minorEastAsia"/>
        </w:rPr>
        <w:t>e chance of misunderstanding the meaning of terms</w:t>
      </w:r>
      <w:r w:rsidR="7B73E4B0" w:rsidRPr="00192D10">
        <w:rPr>
          <w:rFonts w:eastAsiaTheme="minorEastAsia"/>
        </w:rPr>
        <w:t xml:space="preserve"> used</w:t>
      </w:r>
      <w:r w:rsidR="35EA0B8A" w:rsidRPr="00192D10">
        <w:rPr>
          <w:rFonts w:eastAsiaTheme="minorEastAsia"/>
        </w:rPr>
        <w:t xml:space="preserve"> in the </w:t>
      </w:r>
      <w:r w:rsidR="5C285438" w:rsidRPr="00192D10">
        <w:rPr>
          <w:rFonts w:eastAsiaTheme="minorEastAsia"/>
        </w:rPr>
        <w:t xml:space="preserve">larger domain as well as the </w:t>
      </w:r>
      <w:r w:rsidR="0D633133" w:rsidRPr="00192D10">
        <w:rPr>
          <w:rFonts w:eastAsiaTheme="minorEastAsia"/>
        </w:rPr>
        <w:t>data and metadata standards.</w:t>
      </w:r>
      <w:r w:rsidR="00C674F9">
        <w:rPr>
          <w:rFonts w:eastAsiaTheme="minorEastAsia"/>
        </w:rPr>
        <w:t xml:space="preserve"> </w:t>
      </w:r>
      <w:r w:rsidR="0D633133" w:rsidRPr="00192D10">
        <w:rPr>
          <w:rFonts w:eastAsiaTheme="minorEastAsia"/>
        </w:rPr>
        <w:t xml:space="preserve">Finally, </w:t>
      </w:r>
      <w:r w:rsidR="0D633133" w:rsidRPr="00A21B87">
        <w:rPr>
          <w:rFonts w:eastAsiaTheme="minorEastAsia"/>
          <w:b/>
        </w:rPr>
        <w:t>re</w:t>
      </w:r>
      <w:r w:rsidR="160DCC83" w:rsidRPr="00A21B87">
        <w:rPr>
          <w:rFonts w:eastAsiaTheme="minorEastAsia"/>
          <w:b/>
        </w:rPr>
        <w:t>-usability</w:t>
      </w:r>
      <w:r w:rsidR="160DCC83" w:rsidRPr="00192D10">
        <w:rPr>
          <w:rFonts w:eastAsiaTheme="minorEastAsia"/>
        </w:rPr>
        <w:t xml:space="preserve"> advo</w:t>
      </w:r>
      <w:r w:rsidR="1CCF97DB" w:rsidRPr="00192D10">
        <w:rPr>
          <w:rFonts w:eastAsiaTheme="minorEastAsia"/>
        </w:rPr>
        <w:t xml:space="preserve">cates for a license to use and reuse the data </w:t>
      </w:r>
      <w:r w:rsidR="14A89175" w:rsidRPr="00192D10">
        <w:rPr>
          <w:rFonts w:eastAsiaTheme="minorEastAsia"/>
        </w:rPr>
        <w:t>as well as an assurance that the metadata is r</w:t>
      </w:r>
      <w:r w:rsidR="0FD67E8D" w:rsidRPr="00192D10">
        <w:rPr>
          <w:rFonts w:eastAsiaTheme="minorEastAsia"/>
        </w:rPr>
        <w:t>obust</w:t>
      </w:r>
      <w:r w:rsidR="14A89175" w:rsidRPr="00192D10">
        <w:rPr>
          <w:rFonts w:eastAsiaTheme="minorEastAsia"/>
        </w:rPr>
        <w:t xml:space="preserve"> </w:t>
      </w:r>
      <w:r w:rsidR="0FD67E8D" w:rsidRPr="00192D10">
        <w:rPr>
          <w:rFonts w:eastAsiaTheme="minorEastAsia"/>
        </w:rPr>
        <w:t xml:space="preserve">enough to fully describe the </w:t>
      </w:r>
      <w:r w:rsidR="6B858646" w:rsidRPr="00192D10">
        <w:rPr>
          <w:rFonts w:eastAsiaTheme="minorEastAsia"/>
        </w:rPr>
        <w:t>data</w:t>
      </w:r>
      <w:r w:rsidR="5272BC39" w:rsidRPr="00192D10">
        <w:rPr>
          <w:rFonts w:eastAsiaTheme="minorEastAsia"/>
        </w:rPr>
        <w:t xml:space="preserve"> </w:t>
      </w:r>
      <w:r w:rsidR="002D6899" w:rsidRPr="5656EAD3">
        <w:rPr>
          <w:rFonts w:eastAsiaTheme="minorEastAsia"/>
        </w:rPr>
        <w:t>and provenance</w:t>
      </w:r>
      <w:r w:rsidR="0FD67E8D" w:rsidRPr="00192D10">
        <w:rPr>
          <w:rFonts w:eastAsiaTheme="minorEastAsia"/>
        </w:rPr>
        <w:t xml:space="preserve"> </w:t>
      </w:r>
      <w:r w:rsidR="6D12701F" w:rsidRPr="00192D10">
        <w:rPr>
          <w:rFonts w:eastAsiaTheme="minorEastAsia"/>
        </w:rPr>
        <w:t>thus allowing</w:t>
      </w:r>
      <w:r w:rsidR="39D864DB" w:rsidRPr="00192D10">
        <w:rPr>
          <w:rFonts w:eastAsiaTheme="minorEastAsia"/>
        </w:rPr>
        <w:t xml:space="preserve"> users to </w:t>
      </w:r>
      <w:r w:rsidR="21B9254F" w:rsidRPr="00192D10">
        <w:rPr>
          <w:rFonts w:eastAsiaTheme="minorEastAsia"/>
        </w:rPr>
        <w:t xml:space="preserve">determine </w:t>
      </w:r>
      <w:r w:rsidR="5AD9CFEB" w:rsidRPr="00192D10">
        <w:rPr>
          <w:rFonts w:eastAsiaTheme="minorEastAsia"/>
        </w:rPr>
        <w:t>the proper use of the data</w:t>
      </w:r>
      <w:r w:rsidR="39D79877" w:rsidRPr="00192D10">
        <w:rPr>
          <w:rFonts w:eastAsiaTheme="minorEastAsia"/>
        </w:rPr>
        <w:t>.</w:t>
      </w:r>
      <w:r w:rsidR="00C674F9">
        <w:rPr>
          <w:rFonts w:eastAsiaTheme="minorEastAsia"/>
        </w:rPr>
        <w:t xml:space="preserve"> </w:t>
      </w:r>
    </w:p>
    <w:p w14:paraId="10873104" w14:textId="2F021DD0" w:rsidR="4B0604CF" w:rsidRDefault="00362A83">
      <w:pPr>
        <w:rPr>
          <w:rFonts w:eastAsia="Verdana" w:cs="Verdana"/>
          <w:color w:val="000000"/>
          <w:shd w:val="clear" w:color="auto" w:fill="FFFFFF"/>
        </w:rPr>
      </w:pPr>
      <w:r w:rsidRPr="00DC22BF">
        <w:rPr>
          <w:rFonts w:eastAsiaTheme="minorEastAsia"/>
          <w:noProof/>
        </w:rPr>
        <mc:AlternateContent>
          <mc:Choice Requires="wps">
            <w:drawing>
              <wp:anchor distT="45720" distB="45720" distL="114300" distR="114300" simplePos="0" relativeHeight="251658240" behindDoc="0" locked="0" layoutInCell="1" allowOverlap="1" wp14:anchorId="011EE41E" wp14:editId="69F993D3">
                <wp:simplePos x="0" y="0"/>
                <wp:positionH relativeFrom="margin">
                  <wp:posOffset>4248150</wp:posOffset>
                </wp:positionH>
                <wp:positionV relativeFrom="paragraph">
                  <wp:posOffset>31750</wp:posOffset>
                </wp:positionV>
                <wp:extent cx="2000250" cy="800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800100"/>
                        </a:xfrm>
                        <a:prstGeom prst="rect">
                          <a:avLst/>
                        </a:prstGeom>
                        <a:solidFill>
                          <a:srgbClr val="FFFFFF"/>
                        </a:solidFill>
                        <a:ln w="9525">
                          <a:solidFill>
                            <a:schemeClr val="tx1"/>
                          </a:solidFill>
                          <a:miter lim="800000"/>
                          <a:headEnd/>
                          <a:tailEnd/>
                        </a:ln>
                      </wps:spPr>
                      <wps:txbx>
                        <w:txbxContent>
                          <w:p w14:paraId="5F636CBA" w14:textId="372CBB48" w:rsidR="00B452CC" w:rsidRPr="00AF1554" w:rsidRDefault="00B452CC" w:rsidP="00AF1554">
                            <w:pPr>
                              <w:jc w:val="center"/>
                              <w:rPr>
                                <w:i/>
                                <w:sz w:val="28"/>
                              </w:rPr>
                            </w:pPr>
                            <w:r>
                              <w:rPr>
                                <w:rFonts w:eastAsiaTheme="minorEastAsia"/>
                                <w:i/>
                                <w:sz w:val="28"/>
                              </w:rPr>
                              <w:t>I</w:t>
                            </w:r>
                            <w:r w:rsidRPr="00AF1554">
                              <w:rPr>
                                <w:rFonts w:eastAsiaTheme="minorEastAsia"/>
                                <w:i/>
                                <w:sz w:val="28"/>
                              </w:rPr>
                              <w:t>nteroperability requires data and metadata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EE41E" id="_x0000_s1028" type="#_x0000_t202" style="position:absolute;margin-left:334.5pt;margin-top:2.5pt;width:157.5pt;height:63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" strokecolor="black [3213]">
                <v:textbox>
                  <w:txbxContent>
                    <w:p w14:paraId="5F636CBA" w14:textId="372CBB48" w:rsidR="00B452CC" w:rsidRPr="00AF1554" w:rsidRDefault="00B452CC" w:rsidP="00AF1554">
                      <w:pPr>
                        <w:jc w:val="center"/>
                        <w:rPr>
                          <w:i/>
                          <w:sz w:val="28"/>
                        </w:rPr>
                      </w:pPr>
                      <w:r>
                        <w:rPr>
                          <w:rFonts w:eastAsiaTheme="minorEastAsia"/>
                          <w:i/>
                          <w:sz w:val="28"/>
                        </w:rPr>
                        <w:t>I</w:t>
                      </w:r>
                      <w:r w:rsidRPr="00AF1554">
                        <w:rPr>
                          <w:rFonts w:eastAsiaTheme="minorEastAsia"/>
                          <w:i/>
                          <w:sz w:val="28"/>
                        </w:rPr>
                        <w:t>nteroperability requires data and metadata standards</w:t>
                      </w:r>
                    </w:p>
                  </w:txbxContent>
                </v:textbox>
                <w10:wrap type="square" anchorx="margin"/>
              </v:shape>
            </w:pict>
          </mc:Fallback>
        </mc:AlternateContent>
      </w:r>
      <w:r w:rsidR="0BBF2559" w:rsidRPr="00192D10">
        <w:rPr>
          <w:rFonts w:eastAsiaTheme="minorEastAsia"/>
          <w:color w:val="000000"/>
          <w:shd w:val="clear" w:color="auto" w:fill="FFFFFF"/>
        </w:rPr>
        <w:t xml:space="preserve">The </w:t>
      </w:r>
      <w:r w:rsidR="2116A68C" w:rsidRPr="00192D10">
        <w:rPr>
          <w:rFonts w:eastAsiaTheme="minorEastAsia"/>
          <w:color w:val="000000"/>
          <w:shd w:val="clear" w:color="auto" w:fill="FFFFFF"/>
        </w:rPr>
        <w:t xml:space="preserve">FAIR principle </w:t>
      </w:r>
      <w:r w:rsidR="00C86F7A" w:rsidRPr="00192D10">
        <w:rPr>
          <w:rFonts w:eastAsiaTheme="minorEastAsia"/>
          <w:color w:val="000000"/>
          <w:shd w:val="clear" w:color="auto" w:fill="FFFFFF"/>
        </w:rPr>
        <w:t xml:space="preserve">enables </w:t>
      </w:r>
      <w:r w:rsidR="2116A68C" w:rsidRPr="00192D10">
        <w:rPr>
          <w:rFonts w:eastAsiaTheme="minorEastAsia"/>
          <w:color w:val="000000"/>
          <w:shd w:val="clear" w:color="auto" w:fill="FFFFFF"/>
        </w:rPr>
        <w:t xml:space="preserve">any user </w:t>
      </w:r>
      <w:r w:rsidR="00C86F7A" w:rsidRPr="00192D10">
        <w:rPr>
          <w:rFonts w:eastAsiaTheme="minorEastAsia"/>
          <w:color w:val="000000"/>
          <w:shd w:val="clear" w:color="auto" w:fill="FFFFFF"/>
        </w:rPr>
        <w:t xml:space="preserve">to discover </w:t>
      </w:r>
      <w:r w:rsidR="4ED90EA7" w:rsidRPr="00192D10">
        <w:rPr>
          <w:rFonts w:eastAsiaTheme="minorEastAsia"/>
          <w:color w:val="000000"/>
          <w:shd w:val="clear" w:color="auto" w:fill="FFFFFF"/>
        </w:rPr>
        <w:t xml:space="preserve">and correctly use </w:t>
      </w:r>
      <w:r w:rsidR="00C86F7A" w:rsidRPr="00192D10">
        <w:rPr>
          <w:rFonts w:eastAsiaTheme="minorEastAsia"/>
          <w:color w:val="000000"/>
          <w:shd w:val="clear" w:color="auto" w:fill="FFFFFF"/>
        </w:rPr>
        <w:t xml:space="preserve">information </w:t>
      </w:r>
      <w:r w:rsidR="0CCC2EE1" w:rsidRPr="00192D10">
        <w:rPr>
          <w:rFonts w:eastAsiaTheme="minorEastAsia"/>
          <w:color w:val="000000"/>
          <w:shd w:val="clear" w:color="auto" w:fill="FFFFFF"/>
        </w:rPr>
        <w:t xml:space="preserve">with much </w:t>
      </w:r>
      <w:r w:rsidR="081FA8BB" w:rsidRPr="00192D10">
        <w:rPr>
          <w:rFonts w:eastAsiaTheme="minorEastAsia"/>
          <w:color w:val="000000"/>
          <w:shd w:val="clear" w:color="auto" w:fill="FFFFFF"/>
        </w:rPr>
        <w:t>greater certainty regar</w:t>
      </w:r>
      <w:r w:rsidR="3CCDE5CE" w:rsidRPr="00192D10">
        <w:rPr>
          <w:rFonts w:eastAsiaTheme="minorEastAsia"/>
          <w:color w:val="000000"/>
          <w:shd w:val="clear" w:color="auto" w:fill="FFFFFF"/>
        </w:rPr>
        <w:t>ding provenance and data quality</w:t>
      </w:r>
      <w:r w:rsidR="7FE197EF" w:rsidRPr="00192D10">
        <w:rPr>
          <w:rFonts w:eastAsiaTheme="minorEastAsia"/>
          <w:color w:val="000000" w:themeColor="text1"/>
        </w:rPr>
        <w:t xml:space="preserve"> thus p</w:t>
      </w:r>
      <w:r w:rsidR="00C86F7A" w:rsidRPr="00192D10">
        <w:rPr>
          <w:rFonts w:eastAsiaTheme="minorEastAsia"/>
          <w:color w:val="000000"/>
          <w:shd w:val="clear" w:color="auto" w:fill="FFFFFF"/>
        </w:rPr>
        <w:t>rovid</w:t>
      </w:r>
      <w:r w:rsidR="7FE197EF" w:rsidRPr="00192D10">
        <w:rPr>
          <w:rFonts w:eastAsiaTheme="minorEastAsia"/>
          <w:color w:val="000000"/>
          <w:shd w:val="clear" w:color="auto" w:fill="FFFFFF"/>
        </w:rPr>
        <w:t xml:space="preserve">ing </w:t>
      </w:r>
      <w:r w:rsidR="00C86F7A" w:rsidRPr="00192D10">
        <w:rPr>
          <w:rFonts w:eastAsiaTheme="minorEastAsia"/>
          <w:color w:val="000000"/>
          <w:shd w:val="clear" w:color="auto" w:fill="FFFFFF"/>
        </w:rPr>
        <w:t xml:space="preserve">a </w:t>
      </w:r>
      <w:r w:rsidR="7FE197EF" w:rsidRPr="00192D10">
        <w:rPr>
          <w:rFonts w:eastAsiaTheme="minorEastAsia"/>
          <w:color w:val="000000"/>
          <w:shd w:val="clear" w:color="auto" w:fill="FFFFFF"/>
        </w:rPr>
        <w:t xml:space="preserve">greater </w:t>
      </w:r>
      <w:r w:rsidR="00C86F7A" w:rsidRPr="00192D10">
        <w:rPr>
          <w:rFonts w:eastAsiaTheme="minorEastAsia"/>
          <w:color w:val="000000"/>
          <w:shd w:val="clear" w:color="auto" w:fill="FFFFFF"/>
        </w:rPr>
        <w:t xml:space="preserve">level of transparency </w:t>
      </w:r>
      <w:r w:rsidR="259A1923" w:rsidRPr="00192D10">
        <w:rPr>
          <w:rFonts w:eastAsiaTheme="minorEastAsia"/>
          <w:color w:val="000000"/>
          <w:shd w:val="clear" w:color="auto" w:fill="FFFFFF"/>
        </w:rPr>
        <w:t xml:space="preserve">with which to assess </w:t>
      </w:r>
      <w:r w:rsidR="00C86F7A" w:rsidRPr="00192D10">
        <w:rPr>
          <w:rFonts w:eastAsiaTheme="minorEastAsia"/>
          <w:color w:val="000000"/>
          <w:shd w:val="clear" w:color="auto" w:fill="FFFFFF"/>
        </w:rPr>
        <w:t>the condition of one’s air and water quality.</w:t>
      </w:r>
      <w:r w:rsidR="00C674F9">
        <w:rPr>
          <w:rFonts w:eastAsiaTheme="minorEastAsia"/>
          <w:color w:val="000000"/>
          <w:shd w:val="clear" w:color="auto" w:fill="FFFFFF"/>
        </w:rPr>
        <w:t xml:space="preserve"> </w:t>
      </w:r>
      <w:r w:rsidR="36CC9090" w:rsidRPr="00192D10">
        <w:rPr>
          <w:rFonts w:eastAsiaTheme="minorEastAsia"/>
          <w:color w:val="000000"/>
          <w:shd w:val="clear" w:color="auto" w:fill="FFFFFF"/>
        </w:rPr>
        <w:t>Adher</w:t>
      </w:r>
      <w:r w:rsidR="4D5633D2" w:rsidRPr="00192D10">
        <w:rPr>
          <w:rFonts w:eastAsiaTheme="minorEastAsia"/>
          <w:color w:val="000000"/>
          <w:shd w:val="clear" w:color="auto" w:fill="FFFFFF"/>
        </w:rPr>
        <w:t>e</w:t>
      </w:r>
      <w:r w:rsidR="36CC9090" w:rsidRPr="00192D10">
        <w:rPr>
          <w:rFonts w:eastAsiaTheme="minorEastAsia"/>
          <w:color w:val="000000"/>
          <w:shd w:val="clear" w:color="auto" w:fill="FFFFFF"/>
        </w:rPr>
        <w:t>nce to the</w:t>
      </w:r>
      <w:r w:rsidR="791FD453" w:rsidRPr="00192D10">
        <w:rPr>
          <w:rFonts w:eastAsiaTheme="minorEastAsia"/>
          <w:color w:val="000000"/>
          <w:shd w:val="clear" w:color="auto" w:fill="FFFFFF"/>
        </w:rPr>
        <w:t xml:space="preserve"> </w:t>
      </w:r>
      <w:r w:rsidR="2140DA05" w:rsidRPr="00192D10">
        <w:rPr>
          <w:rFonts w:eastAsiaTheme="minorEastAsia"/>
          <w:color w:val="000000"/>
          <w:shd w:val="clear" w:color="auto" w:fill="FFFFFF"/>
        </w:rPr>
        <w:t>F</w:t>
      </w:r>
      <w:r w:rsidR="6140EE20" w:rsidRPr="00192D10">
        <w:rPr>
          <w:rFonts w:eastAsiaTheme="minorEastAsia"/>
          <w:color w:val="000000"/>
          <w:shd w:val="clear" w:color="auto" w:fill="FFFFFF"/>
        </w:rPr>
        <w:t xml:space="preserve">AIR principle </w:t>
      </w:r>
      <w:r w:rsidR="454E0736" w:rsidRPr="00192D10">
        <w:rPr>
          <w:rFonts w:eastAsiaTheme="minorEastAsia"/>
          <w:color w:val="000000"/>
          <w:shd w:val="clear" w:color="auto" w:fill="FFFFFF"/>
        </w:rPr>
        <w:t xml:space="preserve">enables </w:t>
      </w:r>
      <w:r w:rsidR="2140DA05" w:rsidRPr="00192D10">
        <w:rPr>
          <w:rFonts w:eastAsiaTheme="minorEastAsia"/>
          <w:color w:val="000000" w:themeColor="text1"/>
        </w:rPr>
        <w:t xml:space="preserve">efficient query, </w:t>
      </w:r>
      <w:r w:rsidR="6DF2CC31" w:rsidRPr="00192D10">
        <w:rPr>
          <w:rFonts w:eastAsiaTheme="minorEastAsia"/>
          <w:color w:val="000000" w:themeColor="text1"/>
        </w:rPr>
        <w:t>dis</w:t>
      </w:r>
      <w:r w:rsidR="4AB780A7" w:rsidRPr="00192D10">
        <w:rPr>
          <w:rFonts w:eastAsiaTheme="minorEastAsia"/>
          <w:color w:val="000000" w:themeColor="text1"/>
        </w:rPr>
        <w:t>covery</w:t>
      </w:r>
      <w:r w:rsidR="2140DA05" w:rsidRPr="00192D10">
        <w:rPr>
          <w:rFonts w:eastAsiaTheme="minorEastAsia"/>
          <w:color w:val="000000" w:themeColor="text1"/>
        </w:rPr>
        <w:t xml:space="preserve">, </w:t>
      </w:r>
      <w:r w:rsidR="6DF2CC31" w:rsidRPr="00192D10">
        <w:rPr>
          <w:rFonts w:eastAsiaTheme="minorEastAsia"/>
          <w:color w:val="000000" w:themeColor="text1"/>
        </w:rPr>
        <w:t xml:space="preserve">retrieval, </w:t>
      </w:r>
      <w:r w:rsidR="4AB780A7" w:rsidRPr="00192D10">
        <w:rPr>
          <w:rFonts w:eastAsiaTheme="minorEastAsia"/>
          <w:color w:val="000000" w:themeColor="text1"/>
        </w:rPr>
        <w:t xml:space="preserve">storage, </w:t>
      </w:r>
      <w:r w:rsidR="2140DA05" w:rsidRPr="00192D10">
        <w:rPr>
          <w:rFonts w:eastAsiaTheme="minorEastAsia"/>
          <w:color w:val="000000" w:themeColor="text1"/>
        </w:rPr>
        <w:t>analy</w:t>
      </w:r>
      <w:r w:rsidR="7982735C" w:rsidRPr="00192D10">
        <w:rPr>
          <w:rFonts w:eastAsiaTheme="minorEastAsia"/>
          <w:color w:val="000000" w:themeColor="text1"/>
        </w:rPr>
        <w:t>sis</w:t>
      </w:r>
      <w:r w:rsidR="2140DA05" w:rsidRPr="00192D10">
        <w:rPr>
          <w:rFonts w:eastAsiaTheme="minorEastAsia"/>
          <w:color w:val="000000" w:themeColor="text1"/>
        </w:rPr>
        <w:t xml:space="preserve">, </w:t>
      </w:r>
      <w:r w:rsidR="4AB780A7" w:rsidRPr="00192D10">
        <w:rPr>
          <w:rFonts w:eastAsiaTheme="minorEastAsia"/>
          <w:color w:val="000000" w:themeColor="text1"/>
        </w:rPr>
        <w:t>a</w:t>
      </w:r>
      <w:r w:rsidR="2140DA05" w:rsidRPr="00192D10">
        <w:rPr>
          <w:rFonts w:eastAsiaTheme="minorEastAsia"/>
          <w:color w:val="000000" w:themeColor="text1"/>
        </w:rPr>
        <w:t xml:space="preserve">nd display </w:t>
      </w:r>
      <w:r w:rsidR="4AB780A7" w:rsidRPr="00192D10">
        <w:rPr>
          <w:rFonts w:eastAsiaTheme="minorEastAsia"/>
          <w:color w:val="000000" w:themeColor="text1"/>
        </w:rPr>
        <w:t xml:space="preserve">of </w:t>
      </w:r>
      <w:r w:rsidR="2140DA05" w:rsidRPr="00192D10">
        <w:rPr>
          <w:rFonts w:eastAsiaTheme="minorEastAsia"/>
          <w:color w:val="000000" w:themeColor="text1"/>
        </w:rPr>
        <w:t>data</w:t>
      </w:r>
      <w:r w:rsidR="36CC9090" w:rsidRPr="00192D10">
        <w:rPr>
          <w:rFonts w:eastAsiaTheme="minorEastAsia"/>
          <w:color w:val="000000" w:themeColor="text1"/>
        </w:rPr>
        <w:t xml:space="preserve"> </w:t>
      </w:r>
      <w:r w:rsidR="4D5633D2" w:rsidRPr="00192D10">
        <w:rPr>
          <w:rFonts w:eastAsiaTheme="minorEastAsia"/>
          <w:color w:val="000000" w:themeColor="text1"/>
        </w:rPr>
        <w:t>and necessarily impl</w:t>
      </w:r>
      <w:r w:rsidR="2140DA05" w:rsidRPr="00192D10">
        <w:rPr>
          <w:rFonts w:eastAsiaTheme="minorEastAsia"/>
          <w:color w:val="000000" w:themeColor="text1"/>
        </w:rPr>
        <w:t>i</w:t>
      </w:r>
      <w:r w:rsidR="4A46567F" w:rsidRPr="00192D10">
        <w:rPr>
          <w:rFonts w:eastAsiaTheme="minorEastAsia"/>
          <w:color w:val="000000" w:themeColor="text1"/>
        </w:rPr>
        <w:t>es the use of data and metadata standards in achieving that goal</w:t>
      </w:r>
      <w:r w:rsidR="5F98A1A0" w:rsidRPr="00192D10">
        <w:rPr>
          <w:rFonts w:eastAsiaTheme="minorEastAsia"/>
          <w:color w:val="000000" w:themeColor="text1"/>
        </w:rPr>
        <w:t>.</w:t>
      </w:r>
      <w:r w:rsidR="00C674F9">
        <w:rPr>
          <w:rFonts w:eastAsiaTheme="minorEastAsia"/>
          <w:color w:val="000000" w:themeColor="text1"/>
        </w:rPr>
        <w:t xml:space="preserve"> </w:t>
      </w:r>
      <w:r w:rsidR="2140DA05" w:rsidRPr="00192D10">
        <w:rPr>
          <w:rFonts w:eastAsiaTheme="minorEastAsia"/>
        </w:rPr>
        <w:t xml:space="preserve">Standards </w:t>
      </w:r>
      <w:r w:rsidR="64B45E3A" w:rsidRPr="00192D10">
        <w:rPr>
          <w:rFonts w:eastAsiaTheme="minorEastAsia"/>
        </w:rPr>
        <w:t xml:space="preserve">for </w:t>
      </w:r>
      <w:r w:rsidR="2140DA05" w:rsidRPr="00192D10">
        <w:rPr>
          <w:rFonts w:eastAsiaTheme="minorEastAsia"/>
        </w:rPr>
        <w:t>document</w:t>
      </w:r>
      <w:r w:rsidR="650884AD" w:rsidRPr="00192D10">
        <w:rPr>
          <w:rFonts w:eastAsiaTheme="minorEastAsia"/>
        </w:rPr>
        <w:t>at</w:t>
      </w:r>
      <w:r w:rsidR="2140DA05" w:rsidRPr="00192D10">
        <w:rPr>
          <w:rFonts w:eastAsiaTheme="minorEastAsia"/>
        </w:rPr>
        <w:t>i</w:t>
      </w:r>
      <w:r w:rsidR="650884AD" w:rsidRPr="00192D10">
        <w:rPr>
          <w:rFonts w:eastAsiaTheme="minorEastAsia"/>
        </w:rPr>
        <w:t>on</w:t>
      </w:r>
      <w:r w:rsidR="64B45E3A" w:rsidRPr="00192D10">
        <w:rPr>
          <w:rFonts w:eastAsiaTheme="minorEastAsia"/>
        </w:rPr>
        <w:t>,</w:t>
      </w:r>
      <w:r w:rsidR="2140DA05" w:rsidRPr="00192D10">
        <w:rPr>
          <w:rFonts w:eastAsiaTheme="minorEastAsia"/>
        </w:rPr>
        <w:t xml:space="preserve"> format, definition, </w:t>
      </w:r>
      <w:r w:rsidR="1546DFD4" w:rsidRPr="00192D10">
        <w:rPr>
          <w:rFonts w:eastAsiaTheme="minorEastAsia"/>
        </w:rPr>
        <w:t xml:space="preserve">and </w:t>
      </w:r>
      <w:r w:rsidR="2140DA05" w:rsidRPr="00192D10">
        <w:rPr>
          <w:rFonts w:eastAsiaTheme="minorEastAsia"/>
        </w:rPr>
        <w:t xml:space="preserve">structure </w:t>
      </w:r>
      <w:r w:rsidR="048EB097" w:rsidRPr="00192D10">
        <w:rPr>
          <w:rFonts w:eastAsiaTheme="minorEastAsia"/>
        </w:rPr>
        <w:t>fac</w:t>
      </w:r>
      <w:r w:rsidR="45A88022" w:rsidRPr="00192D10">
        <w:rPr>
          <w:rFonts w:eastAsiaTheme="minorEastAsia"/>
        </w:rPr>
        <w:t>ilitates</w:t>
      </w:r>
      <w:r w:rsidR="2140DA05" w:rsidRPr="00192D10">
        <w:rPr>
          <w:rFonts w:eastAsiaTheme="minorEastAsia"/>
        </w:rPr>
        <w:t xml:space="preserve"> management of data </w:t>
      </w:r>
      <w:r w:rsidR="45A88022" w:rsidRPr="00192D10">
        <w:rPr>
          <w:rFonts w:eastAsiaTheme="minorEastAsia"/>
        </w:rPr>
        <w:t>and a</w:t>
      </w:r>
      <w:r w:rsidR="2140DA05" w:rsidRPr="00192D10">
        <w:rPr>
          <w:rFonts w:eastAsiaTheme="minorEastAsia"/>
        </w:rPr>
        <w:t>llow numerous and diverse entities to distribute, share, and integrate data.</w:t>
      </w:r>
    </w:p>
    <w:p w14:paraId="60A939DA" w14:textId="047D12BC" w:rsidR="0087263C" w:rsidRPr="00A21B87" w:rsidRDefault="0DD36EEC">
      <w:pPr>
        <w:rPr>
          <w:rFonts w:eastAsiaTheme="minorEastAsia"/>
        </w:rPr>
      </w:pPr>
      <w:r w:rsidRPr="4AC4243B">
        <w:rPr>
          <w:rFonts w:eastAsiaTheme="minorEastAsia"/>
        </w:rPr>
        <w:t>Give</w:t>
      </w:r>
      <w:r w:rsidR="46FED913" w:rsidRPr="4AC4243B">
        <w:rPr>
          <w:rFonts w:eastAsiaTheme="minorEastAsia"/>
        </w:rPr>
        <w:t>n</w:t>
      </w:r>
      <w:r w:rsidR="0087263C" w:rsidRPr="4AC4243B">
        <w:rPr>
          <w:rFonts w:eastAsiaTheme="minorEastAsia"/>
        </w:rPr>
        <w:t xml:space="preserve"> shrinking budgets for </w:t>
      </w:r>
      <w:r w:rsidR="26702FB5" w:rsidRPr="4AC4243B">
        <w:rPr>
          <w:rFonts w:eastAsiaTheme="minorEastAsia"/>
        </w:rPr>
        <w:t>agencies</w:t>
      </w:r>
      <w:r w:rsidR="358AFCB9" w:rsidRPr="4AC4243B">
        <w:rPr>
          <w:rFonts w:eastAsiaTheme="minorEastAsia"/>
        </w:rPr>
        <w:t>,</w:t>
      </w:r>
      <w:r w:rsidR="26702FB5" w:rsidRPr="4AC4243B">
        <w:rPr>
          <w:rFonts w:eastAsiaTheme="minorEastAsia"/>
        </w:rPr>
        <w:t xml:space="preserve"> the democratizat</w:t>
      </w:r>
      <w:r w:rsidR="358AFCB9" w:rsidRPr="4AC4243B">
        <w:rPr>
          <w:rFonts w:eastAsiaTheme="minorEastAsia"/>
        </w:rPr>
        <w:t xml:space="preserve">ion of </w:t>
      </w:r>
      <w:r w:rsidR="0087263C" w:rsidRPr="4AC4243B">
        <w:rPr>
          <w:rFonts w:eastAsiaTheme="minorEastAsia"/>
        </w:rPr>
        <w:t>environmental monitoring</w:t>
      </w:r>
      <w:r w:rsidR="358AFCB9" w:rsidRPr="4AC4243B">
        <w:rPr>
          <w:rFonts w:eastAsiaTheme="minorEastAsia"/>
        </w:rPr>
        <w:t>,</w:t>
      </w:r>
      <w:r w:rsidR="0087263C" w:rsidRPr="4AC4243B">
        <w:rPr>
          <w:rFonts w:eastAsiaTheme="minorEastAsia"/>
        </w:rPr>
        <w:t xml:space="preserve"> and the </w:t>
      </w:r>
      <w:r w:rsidR="125241E0" w:rsidRPr="4AC4243B">
        <w:rPr>
          <w:rFonts w:eastAsiaTheme="minorEastAsia"/>
        </w:rPr>
        <w:t xml:space="preserve">trend for open </w:t>
      </w:r>
      <w:r w:rsidR="0087263C" w:rsidRPr="4AC4243B">
        <w:rPr>
          <w:rFonts w:eastAsiaTheme="minorEastAsia"/>
        </w:rPr>
        <w:t>publication and sharing of collected data</w:t>
      </w:r>
      <w:r w:rsidR="125241E0" w:rsidRPr="4AC4243B">
        <w:rPr>
          <w:rFonts w:eastAsiaTheme="minorEastAsia"/>
        </w:rPr>
        <w:t>,</w:t>
      </w:r>
      <w:r w:rsidR="0087263C" w:rsidRPr="4AC4243B">
        <w:rPr>
          <w:rFonts w:eastAsiaTheme="minorEastAsia"/>
        </w:rPr>
        <w:t xml:space="preserve"> there </w:t>
      </w:r>
      <w:r w:rsidR="671403CC" w:rsidRPr="4AC4243B">
        <w:rPr>
          <w:rFonts w:eastAsiaTheme="minorEastAsia"/>
        </w:rPr>
        <w:t xml:space="preserve">is need </w:t>
      </w:r>
      <w:r w:rsidR="3F06DF2F" w:rsidRPr="4AC4243B">
        <w:rPr>
          <w:rFonts w:eastAsiaTheme="minorEastAsia"/>
        </w:rPr>
        <w:t xml:space="preserve">and </w:t>
      </w:r>
      <w:r w:rsidR="0087263C" w:rsidRPr="4AC4243B">
        <w:rPr>
          <w:rFonts w:eastAsiaTheme="minorEastAsia"/>
        </w:rPr>
        <w:t xml:space="preserve">interest in </w:t>
      </w:r>
      <w:r w:rsidR="002D6899" w:rsidRPr="4AC4243B">
        <w:rPr>
          <w:rFonts w:eastAsiaTheme="minorEastAsia"/>
        </w:rPr>
        <w:t>utilizing</w:t>
      </w:r>
      <w:r w:rsidR="3F06DF2F" w:rsidRPr="4AC4243B">
        <w:rPr>
          <w:rFonts w:eastAsiaTheme="minorEastAsia"/>
        </w:rPr>
        <w:t xml:space="preserve"> multiple</w:t>
      </w:r>
      <w:r w:rsidR="27942BF1" w:rsidRPr="4AC4243B">
        <w:rPr>
          <w:rFonts w:eastAsiaTheme="minorEastAsia"/>
        </w:rPr>
        <w:t xml:space="preserve"> </w:t>
      </w:r>
      <w:r w:rsidR="0087263C" w:rsidRPr="4AC4243B">
        <w:rPr>
          <w:rFonts w:eastAsiaTheme="minorEastAsia"/>
        </w:rPr>
        <w:t>source</w:t>
      </w:r>
      <w:r w:rsidR="27942BF1" w:rsidRPr="4AC4243B">
        <w:rPr>
          <w:rFonts w:eastAsiaTheme="minorEastAsia"/>
        </w:rPr>
        <w:t>s</w:t>
      </w:r>
      <w:r w:rsidR="0087263C" w:rsidRPr="4AC4243B">
        <w:rPr>
          <w:rFonts w:eastAsiaTheme="minorEastAsia"/>
        </w:rPr>
        <w:t xml:space="preserve"> </w:t>
      </w:r>
      <w:r w:rsidR="27942BF1" w:rsidRPr="4AC4243B">
        <w:rPr>
          <w:rFonts w:eastAsiaTheme="minorEastAsia"/>
        </w:rPr>
        <w:t xml:space="preserve">of </w:t>
      </w:r>
      <w:r w:rsidR="0087263C" w:rsidRPr="4AC4243B">
        <w:rPr>
          <w:rFonts w:eastAsiaTheme="minorEastAsia"/>
        </w:rPr>
        <w:t>data to support decision-making.</w:t>
      </w:r>
      <w:r w:rsidR="00C674F9" w:rsidRPr="4AC4243B">
        <w:rPr>
          <w:rFonts w:eastAsiaTheme="minorEastAsia"/>
        </w:rPr>
        <w:t xml:space="preserve"> </w:t>
      </w:r>
      <w:r w:rsidR="0087263C" w:rsidRPr="4AC4243B">
        <w:rPr>
          <w:rFonts w:eastAsiaTheme="minorEastAsia"/>
        </w:rPr>
        <w:t>Incompatible datasets, however, along with missing information can render data unusable or require extensive reformatting to make cross platform datasets viable thus wasting resources expended to generate such data (</w:t>
      </w:r>
      <w:r w:rsidR="00E806C2" w:rsidRPr="4AC4243B">
        <w:rPr>
          <w:rFonts w:eastAsiaTheme="minorEastAsia"/>
        </w:rPr>
        <w:t>Sprague et al. 2017</w:t>
      </w:r>
      <w:r w:rsidR="0087263C" w:rsidRPr="4AC4243B">
        <w:rPr>
          <w:rFonts w:eastAsiaTheme="minorEastAsia"/>
        </w:rPr>
        <w:t xml:space="preserve">). Data ambiguity and the risk </w:t>
      </w:r>
      <w:r w:rsidR="00146597" w:rsidRPr="4AC4243B">
        <w:rPr>
          <w:rFonts w:eastAsiaTheme="minorEastAsia"/>
        </w:rPr>
        <w:t>o</w:t>
      </w:r>
      <w:r w:rsidR="0068393E" w:rsidRPr="4AC4243B">
        <w:rPr>
          <w:rFonts w:eastAsiaTheme="minorEastAsia"/>
        </w:rPr>
        <w:t>f</w:t>
      </w:r>
      <w:r w:rsidR="00146597" w:rsidRPr="4AC4243B">
        <w:rPr>
          <w:rFonts w:eastAsiaTheme="minorEastAsia"/>
        </w:rPr>
        <w:t xml:space="preserve"> </w:t>
      </w:r>
      <w:r w:rsidR="21132865" w:rsidRPr="4AC4243B">
        <w:rPr>
          <w:rFonts w:eastAsiaTheme="minorEastAsia"/>
        </w:rPr>
        <w:t xml:space="preserve">misusing data </w:t>
      </w:r>
      <w:r w:rsidR="72A21662" w:rsidRPr="4AC4243B">
        <w:rPr>
          <w:rFonts w:eastAsiaTheme="minorEastAsia"/>
        </w:rPr>
        <w:t>c</w:t>
      </w:r>
      <w:r w:rsidR="0087263C" w:rsidRPr="4AC4243B">
        <w:rPr>
          <w:rFonts w:eastAsiaTheme="minorEastAsia"/>
        </w:rPr>
        <w:t xml:space="preserve">an be greatly minimized </w:t>
      </w:r>
      <w:proofErr w:type="gramStart"/>
      <w:r w:rsidR="306B0CC3" w:rsidRPr="4AC4243B">
        <w:rPr>
          <w:rFonts w:eastAsiaTheme="minorEastAsia"/>
        </w:rPr>
        <w:t>th</w:t>
      </w:r>
      <w:r w:rsidR="53C580E6" w:rsidRPr="4AC4243B">
        <w:rPr>
          <w:rFonts w:eastAsiaTheme="minorEastAsia"/>
        </w:rPr>
        <w:t>rough the use of</w:t>
      </w:r>
      <w:proofErr w:type="gramEnd"/>
      <w:r w:rsidR="53C580E6" w:rsidRPr="4AC4243B">
        <w:rPr>
          <w:rFonts w:eastAsiaTheme="minorEastAsia"/>
        </w:rPr>
        <w:t xml:space="preserve"> </w:t>
      </w:r>
      <w:r w:rsidR="0087263C" w:rsidRPr="4AC4243B">
        <w:rPr>
          <w:rFonts w:eastAsiaTheme="minorEastAsia"/>
        </w:rPr>
        <w:t>a common data standard</w:t>
      </w:r>
      <w:r w:rsidR="4F215F36" w:rsidRPr="4AC4243B">
        <w:rPr>
          <w:rFonts w:eastAsiaTheme="minorEastAsia"/>
        </w:rPr>
        <w:t>.</w:t>
      </w:r>
      <w:r w:rsidR="00C674F9" w:rsidRPr="4AC4243B">
        <w:rPr>
          <w:rFonts w:eastAsiaTheme="minorEastAsia"/>
        </w:rPr>
        <w:t xml:space="preserve"> </w:t>
      </w:r>
      <w:r w:rsidR="4F215F36" w:rsidRPr="4AC4243B">
        <w:rPr>
          <w:rFonts w:eastAsiaTheme="minorEastAsia"/>
        </w:rPr>
        <w:t>Some of the benefits include</w:t>
      </w:r>
      <w:r w:rsidR="014047B6" w:rsidRPr="4AC4243B">
        <w:rPr>
          <w:rFonts w:eastAsiaTheme="minorEastAsia"/>
        </w:rPr>
        <w:t>:</w:t>
      </w:r>
    </w:p>
    <w:p w14:paraId="571D3E3B" w14:textId="223B5D13" w:rsidR="0087263C" w:rsidRDefault="74ACD5D0" w:rsidP="1FFB20C6">
      <w:pPr>
        <w:pStyle w:val="ListParagraph"/>
        <w:numPr>
          <w:ilvl w:val="0"/>
          <w:numId w:val="7"/>
        </w:numPr>
      </w:pPr>
      <w:r w:rsidRPr="00192D10">
        <w:rPr>
          <w:rFonts w:eastAsiaTheme="minorEastAsia"/>
        </w:rPr>
        <w:t>L</w:t>
      </w:r>
      <w:r w:rsidR="0087263C" w:rsidRPr="00192D10">
        <w:rPr>
          <w:rFonts w:eastAsiaTheme="minorEastAsia"/>
        </w:rPr>
        <w:t>everag</w:t>
      </w:r>
      <w:r w:rsidRPr="00192D10">
        <w:rPr>
          <w:rFonts w:eastAsiaTheme="minorEastAsia"/>
        </w:rPr>
        <w:t xml:space="preserve">ing </w:t>
      </w:r>
      <w:r w:rsidR="0087263C" w:rsidRPr="00192D10">
        <w:rPr>
          <w:rFonts w:eastAsiaTheme="minorEastAsia"/>
        </w:rPr>
        <w:t xml:space="preserve">resources </w:t>
      </w:r>
      <w:r w:rsidR="61DA5401" w:rsidRPr="00192D10">
        <w:rPr>
          <w:rFonts w:eastAsiaTheme="minorEastAsia"/>
        </w:rPr>
        <w:t>from multiple sourc</w:t>
      </w:r>
      <w:r w:rsidR="1FFB20C6" w:rsidRPr="00192D10">
        <w:rPr>
          <w:rFonts w:eastAsiaTheme="minorEastAsia"/>
        </w:rPr>
        <w:t>e</w:t>
      </w:r>
      <w:r w:rsidR="61DA5401" w:rsidRPr="00192D10">
        <w:rPr>
          <w:rFonts w:eastAsiaTheme="minorEastAsia"/>
        </w:rPr>
        <w:t xml:space="preserve">s </w:t>
      </w:r>
      <w:r w:rsidRPr="00192D10">
        <w:rPr>
          <w:rFonts w:eastAsiaTheme="minorEastAsia"/>
        </w:rPr>
        <w:t xml:space="preserve">and </w:t>
      </w:r>
      <w:r w:rsidR="0087263C" w:rsidRPr="00192D10">
        <w:rPr>
          <w:rFonts w:eastAsiaTheme="minorEastAsia"/>
        </w:rPr>
        <w:t xml:space="preserve">using data beyond its original intent </w:t>
      </w:r>
    </w:p>
    <w:p w14:paraId="17E935B4" w14:textId="2DCDA52B" w:rsidR="0087263C" w:rsidRDefault="0087263C" w:rsidP="726BC677">
      <w:pPr>
        <w:pStyle w:val="ListParagraph"/>
        <w:numPr>
          <w:ilvl w:val="0"/>
          <w:numId w:val="7"/>
        </w:numPr>
      </w:pPr>
      <w:r w:rsidRPr="00192D10">
        <w:rPr>
          <w:rFonts w:eastAsiaTheme="minorEastAsia"/>
        </w:rPr>
        <w:t>Ability to more easily query and filter information</w:t>
      </w:r>
      <w:r w:rsidR="3151F6EC" w:rsidRPr="00192D10">
        <w:rPr>
          <w:rFonts w:eastAsiaTheme="minorEastAsia"/>
        </w:rPr>
        <w:t xml:space="preserve"> </w:t>
      </w:r>
      <w:r w:rsidR="726BC677" w:rsidRPr="00192D10">
        <w:rPr>
          <w:rFonts w:eastAsiaTheme="minorEastAsia"/>
        </w:rPr>
        <w:t>and find the needed data</w:t>
      </w:r>
    </w:p>
    <w:p w14:paraId="5932F121" w14:textId="7FAA7557" w:rsidR="0087263C" w:rsidRDefault="0087263C" w:rsidP="7D217BA3">
      <w:pPr>
        <w:pStyle w:val="ListParagraph"/>
        <w:numPr>
          <w:ilvl w:val="0"/>
          <w:numId w:val="7"/>
        </w:numPr>
      </w:pPr>
      <w:r w:rsidRPr="00192D10">
        <w:rPr>
          <w:rFonts w:eastAsiaTheme="minorEastAsia"/>
        </w:rPr>
        <w:t xml:space="preserve">Higher degree of confidence in </w:t>
      </w:r>
      <w:r w:rsidR="799A5D19" w:rsidRPr="00192D10">
        <w:rPr>
          <w:rFonts w:eastAsiaTheme="minorEastAsia"/>
        </w:rPr>
        <w:t>analysis and deci</w:t>
      </w:r>
      <w:r w:rsidR="34C40572" w:rsidRPr="00192D10">
        <w:rPr>
          <w:rFonts w:eastAsiaTheme="minorEastAsia"/>
        </w:rPr>
        <w:t>s</w:t>
      </w:r>
      <w:r w:rsidR="799A5D19" w:rsidRPr="00192D10">
        <w:rPr>
          <w:rFonts w:eastAsiaTheme="minorEastAsia"/>
        </w:rPr>
        <w:t>ion making</w:t>
      </w:r>
    </w:p>
    <w:p w14:paraId="0B85EE1A" w14:textId="4DA549CC" w:rsidR="0087263C" w:rsidRDefault="0087263C" w:rsidP="00192D10">
      <w:pPr>
        <w:pStyle w:val="ListParagraph"/>
        <w:numPr>
          <w:ilvl w:val="0"/>
          <w:numId w:val="7"/>
        </w:numPr>
      </w:pPr>
      <w:r w:rsidRPr="00192D10">
        <w:rPr>
          <w:rFonts w:eastAsiaTheme="minorEastAsia"/>
        </w:rPr>
        <w:t>Archiving and storage of data without the fear of future incompatibilit</w:t>
      </w:r>
      <w:r w:rsidR="11BD3F4E" w:rsidRPr="00192D10">
        <w:rPr>
          <w:rFonts w:eastAsiaTheme="minorEastAsia"/>
        </w:rPr>
        <w:t>y</w:t>
      </w:r>
    </w:p>
    <w:p w14:paraId="652C8AD6" w14:textId="043E850E" w:rsidR="0087263C" w:rsidRPr="00192D10" w:rsidRDefault="0087263C">
      <w:pPr>
        <w:rPr>
          <w:rFonts w:eastAsiaTheme="minorEastAsia"/>
        </w:rPr>
      </w:pPr>
      <w:r w:rsidRPr="00192D10">
        <w:rPr>
          <w:rFonts w:eastAsiaTheme="minorEastAsia"/>
        </w:rPr>
        <w:t xml:space="preserve">Simply put, data cannot be consistently and accurately shared without </w:t>
      </w:r>
      <w:r w:rsidR="6A611939" w:rsidRPr="00192D10">
        <w:rPr>
          <w:rFonts w:eastAsiaTheme="minorEastAsia"/>
        </w:rPr>
        <w:t>the adoption and adherence</w:t>
      </w:r>
      <w:r w:rsidR="521BE34B" w:rsidRPr="00192D10">
        <w:rPr>
          <w:rFonts w:eastAsiaTheme="minorEastAsia"/>
        </w:rPr>
        <w:t xml:space="preserve"> to</w:t>
      </w:r>
      <w:r w:rsidRPr="00192D10">
        <w:rPr>
          <w:rFonts w:eastAsiaTheme="minorEastAsia"/>
        </w:rPr>
        <w:t xml:space="preserve"> data </w:t>
      </w:r>
      <w:r w:rsidR="6A611939" w:rsidRPr="00192D10">
        <w:rPr>
          <w:rFonts w:eastAsiaTheme="minorEastAsia"/>
        </w:rPr>
        <w:t xml:space="preserve">and metadata </w:t>
      </w:r>
      <w:r w:rsidRPr="00192D10">
        <w:rPr>
          <w:rFonts w:eastAsiaTheme="minorEastAsia"/>
        </w:rPr>
        <w:t>standard</w:t>
      </w:r>
      <w:r w:rsidR="6A611939" w:rsidRPr="00192D10">
        <w:rPr>
          <w:rFonts w:eastAsiaTheme="minorEastAsia"/>
        </w:rPr>
        <w:t>s</w:t>
      </w:r>
      <w:r w:rsidRPr="00192D10">
        <w:rPr>
          <w:rFonts w:eastAsiaTheme="minorEastAsia"/>
        </w:rPr>
        <w:t>.</w:t>
      </w:r>
    </w:p>
    <w:p w14:paraId="76B6933A" w14:textId="68A13CF6" w:rsidR="00E17D84" w:rsidRDefault="006819E2" w:rsidP="00AF1554">
      <w:pPr>
        <w:pStyle w:val="Heading1"/>
      </w:pPr>
      <w:r>
        <w:lastRenderedPageBreak/>
        <w:t>Results/Findings</w:t>
      </w:r>
    </w:p>
    <w:p w14:paraId="301C330D" w14:textId="239C976D" w:rsidR="00E17D84" w:rsidRPr="00AD0DE1" w:rsidRDefault="029AC886" w:rsidP="00AD0DE1">
      <w:pPr>
        <w:rPr>
          <w:b/>
          <w:bCs/>
        </w:rPr>
      </w:pPr>
      <w:r>
        <w:t>The team realize</w:t>
      </w:r>
      <w:r w:rsidR="6E1808BD">
        <w:t xml:space="preserve">s </w:t>
      </w:r>
      <w:r>
        <w:t>that a single standard, or eve</w:t>
      </w:r>
      <w:r w:rsidR="1F939D3D">
        <w:t>n a small set of standards, c</w:t>
      </w:r>
      <w:r w:rsidR="6B05AAC8">
        <w:t>an</w:t>
      </w:r>
      <w:r w:rsidR="1F939D3D">
        <w:t xml:space="preserve">not encompass the breadth of </w:t>
      </w:r>
      <w:r w:rsidR="6A0931FC">
        <w:t>environmental data being gathered.</w:t>
      </w:r>
      <w:r w:rsidR="00C674F9">
        <w:t xml:space="preserve"> </w:t>
      </w:r>
      <w:r w:rsidR="6A0931FC">
        <w:t xml:space="preserve">However, by </w:t>
      </w:r>
      <w:r w:rsidR="6B05AAC8">
        <w:t>evaluating</w:t>
      </w:r>
      <w:r w:rsidR="6793C324" w:rsidRPr="42B3EC0E">
        <w:t xml:space="preserve"> </w:t>
      </w:r>
      <w:r w:rsidR="6A0931FC">
        <w:t xml:space="preserve">existing systems, </w:t>
      </w:r>
      <w:r w:rsidR="52041907">
        <w:t xml:space="preserve">each </w:t>
      </w:r>
      <w:r w:rsidR="6A0931FC">
        <w:t xml:space="preserve">with </w:t>
      </w:r>
      <w:r w:rsidR="29B884C7">
        <w:t xml:space="preserve">unique </w:t>
      </w:r>
      <w:r w:rsidR="6A0931FC">
        <w:t>spatial, tempora</w:t>
      </w:r>
      <w:r w:rsidR="683FCCA1">
        <w:t xml:space="preserve">l, and media features, the team </w:t>
      </w:r>
      <w:r w:rsidR="7DC03425">
        <w:t>found a set of core commonalities</w:t>
      </w:r>
      <w:r w:rsidR="7DC03425" w:rsidRPr="42B3EC0E">
        <w:t>.</w:t>
      </w:r>
      <w:r w:rsidR="00C674F9">
        <w:t xml:space="preserve"> </w:t>
      </w:r>
      <w:r w:rsidR="20FF3E56" w:rsidRPr="42B3EC0E">
        <w:t xml:space="preserve"> </w:t>
      </w:r>
      <w:r w:rsidR="4BD14974" w:rsidRPr="4BD14974">
        <w:t>Those common features will lead to broad standards for information interchange.</w:t>
      </w:r>
    </w:p>
    <w:p w14:paraId="7DA8D2C0" w14:textId="544BB63B" w:rsidR="00697D3C" w:rsidRDefault="620804E0">
      <w:pPr>
        <w:rPr>
          <w:b/>
          <w:bCs/>
        </w:rPr>
      </w:pPr>
      <w:r w:rsidRPr="00AD0DE1">
        <w:t>This effort requires strong and broad partnerships between data providers and users, including EPA Program offices and their state and Tribal equivalents, ORD, the Office of Environmental Information (OEI), EPA Regions, citizen scientists, researchers, environmental groups, cloud providers, sensor manufacturers, other federal agencies, and academic institutions</w:t>
      </w:r>
      <w:r w:rsidR="00697D3C">
        <w:rPr>
          <w:b/>
          <w:bCs/>
        </w:rPr>
        <w:t>.</w:t>
      </w:r>
    </w:p>
    <w:p w14:paraId="1EA7B57D" w14:textId="1804C7C0" w:rsidR="00E00BF9" w:rsidRPr="00AF1554" w:rsidRDefault="00E00BF9">
      <w:pPr>
        <w:rPr>
          <w:bCs/>
        </w:rPr>
      </w:pPr>
      <w:r>
        <w:rPr>
          <w:bCs/>
        </w:rPr>
        <w:t xml:space="preserve">As part of this review, the team reviewed </w:t>
      </w:r>
      <w:r>
        <w:t>several existing standards, including international, open standards such as the Open Geospatial Consortium SensorML/WaterML2 standard,</w:t>
      </w:r>
      <w:r w:rsidR="005B1A14">
        <w:t xml:space="preserve"> </w:t>
      </w:r>
      <w:r>
        <w:t>NetCDF</w:t>
      </w:r>
      <w:r w:rsidR="005B1A14">
        <w:t>/</w:t>
      </w:r>
      <w:r w:rsidR="005A379C">
        <w:t>CF</w:t>
      </w:r>
      <w:r>
        <w:t xml:space="preserve">, </w:t>
      </w:r>
      <w:proofErr w:type="spellStart"/>
      <w:r>
        <w:t>AQcsv</w:t>
      </w:r>
      <w:proofErr w:type="spellEnd"/>
      <w:r>
        <w:t xml:space="preserve">, </w:t>
      </w:r>
      <w:proofErr w:type="spellStart"/>
      <w:r>
        <w:t>WaterOneFlow</w:t>
      </w:r>
      <w:proofErr w:type="spellEnd"/>
      <w:r>
        <w:t xml:space="preserve">/WaterML, AQS, WQX, VIPER and OGC </w:t>
      </w:r>
      <w:r w:rsidR="005A379C">
        <w:t xml:space="preserve">O&amp;M </w:t>
      </w:r>
      <w:proofErr w:type="spellStart"/>
      <w:r>
        <w:t>SensorThingsAPI</w:t>
      </w:r>
      <w:proofErr w:type="spellEnd"/>
      <w:r>
        <w:t xml:space="preserve"> (see Appendix A for a description </w:t>
      </w:r>
      <w:r w:rsidR="00840E94">
        <w:t>of</w:t>
      </w:r>
      <w:r>
        <w:t xml:space="preserve"> the standards that were reviewed).</w:t>
      </w:r>
      <w:r w:rsidR="00C674F9">
        <w:t xml:space="preserve"> </w:t>
      </w:r>
      <w:r>
        <w:t>The team also identified criteria by which these standards were evaluated (see Criteria section).</w:t>
      </w:r>
    </w:p>
    <w:p w14:paraId="48139868" w14:textId="5518F90F" w:rsidR="00697D3C" w:rsidRDefault="00697D3C" w:rsidP="00697D3C">
      <w:pPr>
        <w:pStyle w:val="Heading2"/>
      </w:pPr>
      <w:r>
        <w:t xml:space="preserve">Recommended Approach </w:t>
      </w:r>
    </w:p>
    <w:p w14:paraId="5031ED1B" w14:textId="312446E5" w:rsidR="00E00BF9" w:rsidRDefault="00E00BF9">
      <w:r>
        <w:t xml:space="preserve">The team </w:t>
      </w:r>
      <w:r w:rsidRPr="00B338D5">
        <w:t xml:space="preserve">evaluated data standards based on how well they </w:t>
      </w:r>
      <w:r>
        <w:t>met a</w:t>
      </w:r>
      <w:r w:rsidRPr="00B338D5">
        <w:t xml:space="preserve"> set of criteria</w:t>
      </w:r>
      <w:r>
        <w:t xml:space="preserve">, the most important of which are market maturity and ease of </w:t>
      </w:r>
      <w:r w:rsidR="009E7C02">
        <w:t>discovery</w:t>
      </w:r>
      <w:r>
        <w:t xml:space="preserve">. In addition, the team evaluated the options to see which ones met four uses cases (i.e., data access, querying, ownership and archiving) that </w:t>
      </w:r>
      <w:r w:rsidRPr="00B338D5">
        <w:t>support EPA, states a</w:t>
      </w:r>
      <w:r>
        <w:t xml:space="preserve">nd Tribes in their efforts </w:t>
      </w:r>
      <w:r w:rsidRPr="00B338D5">
        <w:t xml:space="preserve">to </w:t>
      </w:r>
      <w:r>
        <w:t>use continuous monitoring data.</w:t>
      </w:r>
    </w:p>
    <w:p w14:paraId="24146A5B" w14:textId="3E39E3A6" w:rsidR="00697D3C" w:rsidRPr="00F97773" w:rsidRDefault="00E00BF9">
      <w:r w:rsidRPr="00F97773">
        <w:t>Based on this evaluation, t</w:t>
      </w:r>
      <w:r w:rsidR="00697D3C" w:rsidRPr="00F97773">
        <w:t xml:space="preserve">he team recommends that agencies use </w:t>
      </w:r>
      <w:r w:rsidR="00F410CD" w:rsidRPr="00F97773">
        <w:t xml:space="preserve">one of two standards: </w:t>
      </w:r>
      <w:proofErr w:type="gramStart"/>
      <w:r w:rsidR="00697D3C" w:rsidRPr="00F97773">
        <w:t>the</w:t>
      </w:r>
      <w:proofErr w:type="gramEnd"/>
      <w:r w:rsidR="00697D3C" w:rsidRPr="00F97773">
        <w:t xml:space="preserve"> Open Geospatial Consortium (OGC) SensorML/WaterML 2 standard</w:t>
      </w:r>
      <w:r w:rsidR="00F410CD" w:rsidRPr="00F97773">
        <w:t xml:space="preserve"> or the NetCDF/CF standard</w:t>
      </w:r>
      <w:r w:rsidR="00697D3C" w:rsidRPr="00F97773">
        <w:t xml:space="preserve">. </w:t>
      </w:r>
      <w:r w:rsidR="00F410CD" w:rsidRPr="00F97773">
        <w:t>Both standards</w:t>
      </w:r>
      <w:r w:rsidR="00697D3C" w:rsidRPr="00F97773">
        <w:t xml:space="preserve"> meet the criteria and all four use cases for data use</w:t>
      </w:r>
      <w:r w:rsidRPr="00F97773">
        <w:t xml:space="preserve"> (defined below in the criteria section)</w:t>
      </w:r>
      <w:r w:rsidR="00697D3C" w:rsidRPr="00F97773">
        <w:t xml:space="preserve">. </w:t>
      </w:r>
      <w:r w:rsidR="00E326B5" w:rsidRPr="00F97773">
        <w:t xml:space="preserve"> </w:t>
      </w:r>
      <w:r w:rsidR="00567B00" w:rsidRPr="00F97773">
        <w:t>Note</w:t>
      </w:r>
      <w:r w:rsidR="00F410CD" w:rsidRPr="00F97773">
        <w:t xml:space="preserve"> that these standards may be applicable in some situations but not in others.  SensorML/WaterML2</w:t>
      </w:r>
      <w:r w:rsidRPr="00F97773">
        <w:t xml:space="preserve"> does not currently define </w:t>
      </w:r>
      <w:proofErr w:type="gramStart"/>
      <w:r w:rsidRPr="00F97773">
        <w:t>all of</w:t>
      </w:r>
      <w:proofErr w:type="gramEnd"/>
      <w:r w:rsidRPr="00F97773">
        <w:t xml:space="preserve"> the </w:t>
      </w:r>
      <w:r w:rsidR="007D4BFF" w:rsidRPr="00F97773">
        <w:t>meta</w:t>
      </w:r>
      <w:r w:rsidRPr="00F97773">
        <w:t>data elements necessary to determine</w:t>
      </w:r>
      <w:r w:rsidR="00697D3C" w:rsidRPr="00F97773">
        <w:t xml:space="preserve"> data quality</w:t>
      </w:r>
      <w:r w:rsidR="00F410CD" w:rsidRPr="00F97773">
        <w:t xml:space="preserve"> and may not be appropriate for archiving data</w:t>
      </w:r>
      <w:r w:rsidR="00697D3C" w:rsidRPr="00F97773">
        <w:t xml:space="preserve">. </w:t>
      </w:r>
      <w:r w:rsidR="00E326B5" w:rsidRPr="00F97773">
        <w:t>F</w:t>
      </w:r>
      <w:r w:rsidRPr="00F97773">
        <w:t xml:space="preserve">urther work would need to be done with the OGC to help strengthen </w:t>
      </w:r>
      <w:r w:rsidR="00E326B5" w:rsidRPr="00F97773">
        <w:t>the data quality documentation</w:t>
      </w:r>
      <w:r w:rsidRPr="00F97773">
        <w:t xml:space="preserve"> of the standard</w:t>
      </w:r>
      <w:r w:rsidR="00697D3C" w:rsidRPr="00F97773">
        <w:t xml:space="preserve">. </w:t>
      </w:r>
      <w:r w:rsidRPr="00F97773">
        <w:t>N</w:t>
      </w:r>
      <w:r w:rsidR="00697D3C" w:rsidRPr="00F97773">
        <w:t>etCDF</w:t>
      </w:r>
      <w:r w:rsidR="00E326B5" w:rsidRPr="00F97773">
        <w:t xml:space="preserve">, however, was developed as an archival standard, with improvements to query capability and </w:t>
      </w:r>
      <w:proofErr w:type="gramStart"/>
      <w:r w:rsidR="00E326B5" w:rsidRPr="00F97773">
        <w:t>real time</w:t>
      </w:r>
      <w:proofErr w:type="gramEnd"/>
      <w:r w:rsidR="00E326B5" w:rsidRPr="00F97773">
        <w:t xml:space="preserve"> delivery through open source software.  One caution with NetCDF is that due to its open format of ‘self-documenting’ metadata elements, it is a very flexible standard.  Only when NetCDF is combined with CF data profiles can it deliver data and metadata elements in a ‘standard’ way.</w:t>
      </w:r>
      <w:r w:rsidR="00567B00" w:rsidRPr="00F97773">
        <w:t xml:space="preserve"> Regardless of the data standard chosen, agencies should keep in mind interoperability of their implemented standard with the other widely used standards identified in this report.</w:t>
      </w:r>
    </w:p>
    <w:p w14:paraId="5D4187EB" w14:textId="53F9641F" w:rsidR="00697D3C" w:rsidRPr="00F97773" w:rsidRDefault="00697D3C" w:rsidP="00AF1554">
      <w:r w:rsidRPr="00F97773">
        <w:t xml:space="preserve">The </w:t>
      </w:r>
      <w:r w:rsidR="00567B00" w:rsidRPr="00F97773">
        <w:t>biggest impact of adopting these</w:t>
      </w:r>
      <w:r w:rsidR="009E7C02" w:rsidRPr="00F97773">
        <w:t xml:space="preserve"> standard</w:t>
      </w:r>
      <w:r w:rsidR="00567B00" w:rsidRPr="00F97773">
        <w:t>s</w:t>
      </w:r>
      <w:r w:rsidR="009E7C02" w:rsidRPr="00F97773">
        <w:t xml:space="preserve"> would be on existing systems that are publishing continuous data that do not conform to th</w:t>
      </w:r>
      <w:r w:rsidR="00E326B5" w:rsidRPr="00F97773">
        <w:t>e</w:t>
      </w:r>
      <w:r w:rsidR="009E7C02" w:rsidRPr="00F97773">
        <w:t>s</w:t>
      </w:r>
      <w:r w:rsidR="00E326B5" w:rsidRPr="00F97773">
        <w:t>e</w:t>
      </w:r>
      <w:r w:rsidR="009E7C02" w:rsidRPr="00F97773">
        <w:t xml:space="preserve"> standard</w:t>
      </w:r>
      <w:r w:rsidR="00E326B5" w:rsidRPr="00F97773">
        <w:t>s</w:t>
      </w:r>
      <w:r w:rsidR="009E7C02" w:rsidRPr="00F97773">
        <w:t>.</w:t>
      </w:r>
      <w:r w:rsidR="00C674F9" w:rsidRPr="00F97773">
        <w:t xml:space="preserve"> </w:t>
      </w:r>
      <w:r w:rsidR="009E7C02" w:rsidRPr="00F97773">
        <w:t>These systems already provide robust data access with applications buil</w:t>
      </w:r>
      <w:r w:rsidR="00545C31" w:rsidRPr="00F97773">
        <w:t>t</w:t>
      </w:r>
      <w:r w:rsidR="000818D7" w:rsidRPr="00F97773">
        <w:t xml:space="preserve"> off th</w:t>
      </w:r>
      <w:r w:rsidR="009E7C02" w:rsidRPr="00F97773">
        <w:t xml:space="preserve">e </w:t>
      </w:r>
      <w:r w:rsidR="00E9583E" w:rsidRPr="00F97773">
        <w:t xml:space="preserve">existing </w:t>
      </w:r>
      <w:r w:rsidR="009E7C02" w:rsidRPr="00F97773">
        <w:t>access methods.</w:t>
      </w:r>
      <w:r w:rsidR="00C674F9" w:rsidRPr="00F97773">
        <w:t xml:space="preserve"> </w:t>
      </w:r>
      <w:r w:rsidR="009E7C02" w:rsidRPr="00F97773">
        <w:t xml:space="preserve">The team recommends that </w:t>
      </w:r>
      <w:r w:rsidR="000818D7" w:rsidRPr="00F97773">
        <w:t>agencies</w:t>
      </w:r>
      <w:r w:rsidR="009E7C02" w:rsidRPr="00F97773">
        <w:t xml:space="preserve"> adopt these standards in a step-w</w:t>
      </w:r>
      <w:r w:rsidR="000818D7" w:rsidRPr="00F97773">
        <w:t>ise approach: newer systems and data flows adopt</w:t>
      </w:r>
      <w:r w:rsidR="009E7C02" w:rsidRPr="00F97773">
        <w:t xml:space="preserve"> these standards as they are develope</w:t>
      </w:r>
      <w:r w:rsidR="000818D7" w:rsidRPr="00F97773">
        <w:t>d, and existing systems build</w:t>
      </w:r>
      <w:r w:rsidR="009E7C02" w:rsidRPr="00F97773">
        <w:t xml:space="preserve"> out new services that meet these standards as funding allows.</w:t>
      </w:r>
      <w:r w:rsidR="00C674F9" w:rsidRPr="00F97773">
        <w:t xml:space="preserve"> </w:t>
      </w:r>
      <w:r w:rsidR="00545C31" w:rsidRPr="00F97773">
        <w:t xml:space="preserve">Agencies also </w:t>
      </w:r>
      <w:r w:rsidR="000818D7" w:rsidRPr="00F97773">
        <w:t xml:space="preserve">should </w:t>
      </w:r>
      <w:r w:rsidR="00545C31" w:rsidRPr="00F97773">
        <w:t>explore existing off-the-shelf software that can support these standards as a means of enabling the publishing of data using the standards.</w:t>
      </w:r>
    </w:p>
    <w:p w14:paraId="3DB24F57" w14:textId="5B8AB90B" w:rsidR="00B64FB2" w:rsidRDefault="00545C31" w:rsidP="00697D3C">
      <w:r w:rsidRPr="00F97773">
        <w:t xml:space="preserve">To implement these standards, the team recommends that the </w:t>
      </w:r>
      <w:r w:rsidR="007D4BFF" w:rsidRPr="00F97773">
        <w:t xml:space="preserve">data quality </w:t>
      </w:r>
      <w:r w:rsidRPr="00F97773">
        <w:t xml:space="preserve">metadata gap with the SensorML/WaterML 2 </w:t>
      </w:r>
      <w:r w:rsidR="00E326B5" w:rsidRPr="00F97773">
        <w:t>and feasibility of NetCDF/CF implementation be addressed</w:t>
      </w:r>
      <w:r w:rsidRPr="00F97773">
        <w:t>.</w:t>
      </w:r>
      <w:r w:rsidR="00C674F9" w:rsidRPr="00F97773">
        <w:t xml:space="preserve"> </w:t>
      </w:r>
      <w:r w:rsidRPr="00F97773">
        <w:t xml:space="preserve">The team </w:t>
      </w:r>
      <w:r w:rsidR="000818D7" w:rsidRPr="00F97773">
        <w:t xml:space="preserve">plans to </w:t>
      </w:r>
      <w:r w:rsidRPr="00F97773">
        <w:t xml:space="preserve">explore options for this as part of a follow-on </w:t>
      </w:r>
      <w:r w:rsidR="000818D7" w:rsidRPr="00F97773">
        <w:t>effort</w:t>
      </w:r>
      <w:r w:rsidRPr="00F97773">
        <w:t>.</w:t>
      </w:r>
      <w:r w:rsidR="00C674F9" w:rsidRPr="00F97773">
        <w:t xml:space="preserve"> </w:t>
      </w:r>
      <w:r w:rsidRPr="00F97773">
        <w:t>With a recommended metadata model, the team would be ready to begin piloting efforts to share/publish data in these formats.</w:t>
      </w:r>
      <w:r w:rsidR="00C674F9" w:rsidRPr="00F97773">
        <w:t xml:space="preserve"> </w:t>
      </w:r>
      <w:r w:rsidRPr="00F97773">
        <w:t>One pilot</w:t>
      </w:r>
      <w:r w:rsidR="002C2675" w:rsidRPr="00F97773">
        <w:t xml:space="preserve">, </w:t>
      </w:r>
      <w:hyperlink r:id="rId12" w:history="1">
        <w:r w:rsidRPr="00F97773">
          <w:rPr>
            <w:rStyle w:val="Hyperlink"/>
          </w:rPr>
          <w:t xml:space="preserve">the Interoperable </w:t>
        </w:r>
        <w:r w:rsidRPr="00F97773">
          <w:rPr>
            <w:rStyle w:val="Hyperlink"/>
          </w:rPr>
          <w:t>W</w:t>
        </w:r>
        <w:r w:rsidRPr="00F97773">
          <w:rPr>
            <w:rStyle w:val="Hyperlink"/>
          </w:rPr>
          <w:t xml:space="preserve">atersheds </w:t>
        </w:r>
        <w:r w:rsidRPr="00F97773">
          <w:rPr>
            <w:rStyle w:val="Hyperlink"/>
          </w:rPr>
          <w:lastRenderedPageBreak/>
          <w:t>Network</w:t>
        </w:r>
      </w:hyperlink>
      <w:r w:rsidR="002C2675" w:rsidRPr="00F97773">
        <w:t xml:space="preserve"> </w:t>
      </w:r>
      <w:r w:rsidR="000C6C05" w:rsidRPr="00F97773">
        <w:t>(IWN)</w:t>
      </w:r>
      <w:r w:rsidR="002C2675" w:rsidRPr="00F97773">
        <w:t xml:space="preserve">, </w:t>
      </w:r>
      <w:r w:rsidRPr="00F97773">
        <w:t>has already been completed</w:t>
      </w:r>
      <w:r w:rsidR="00E326B5" w:rsidRPr="00F97773">
        <w:t xml:space="preserve"> using SensorML/WaterML2</w:t>
      </w:r>
      <w:r w:rsidRPr="00F97773">
        <w:t>, and lessons learned from that effort should inform follow-on activities, including looking at cross-media data publishing and working with Team 3 to develop ways to communicate the data.</w:t>
      </w:r>
      <w:r w:rsidR="000C6C05">
        <w:t xml:space="preserve"> </w:t>
      </w:r>
      <w:r w:rsidR="000C6C05" w:rsidRPr="000C6C05">
        <w:t xml:space="preserve">An additional ongoing project involving EPA Region 10, in conjunction with </w:t>
      </w:r>
      <w:r w:rsidR="000C6C05">
        <w:t xml:space="preserve">EPA’s Office of Research and Development and Office of </w:t>
      </w:r>
      <w:r w:rsidR="000C6C05">
        <w:t>Wetlands</w:t>
      </w:r>
      <w:r w:rsidR="000C6C05">
        <w:t>, Oceans and</w:t>
      </w:r>
      <w:r w:rsidR="000C6C05" w:rsidRPr="000C6C05">
        <w:t xml:space="preserve"> </w:t>
      </w:r>
      <w:r w:rsidR="000C6C05">
        <w:t>Watersheds</w:t>
      </w:r>
      <w:r w:rsidR="000C6C05" w:rsidRPr="000C6C05">
        <w:t>, is leveraging the data standards and data sharing backbone of the IWN to deliver and communicate sensor data to stakeholders in the Nooksack Watershed.</w:t>
      </w:r>
    </w:p>
    <w:p w14:paraId="53557784" w14:textId="54AFD961" w:rsidR="00784D3B" w:rsidRDefault="00B64FB2" w:rsidP="00AF1554">
      <w:pPr>
        <w:pStyle w:val="Heading2"/>
      </w:pPr>
      <w:r>
        <w:t xml:space="preserve">Limitations </w:t>
      </w:r>
      <w:r w:rsidR="00CD70DB">
        <w:t>of</w:t>
      </w:r>
      <w:r>
        <w:t xml:space="preserve"> Recommendation</w:t>
      </w:r>
    </w:p>
    <w:p w14:paraId="6A2894CF" w14:textId="1A867992" w:rsidR="006A30FB" w:rsidRDefault="00545C31" w:rsidP="00840E94">
      <w:pPr>
        <w:rPr>
          <w:b/>
          <w:bCs/>
        </w:rPr>
      </w:pPr>
      <w:r>
        <w:rPr>
          <w:bCs/>
        </w:rPr>
        <w:t xml:space="preserve">The team evaluated </w:t>
      </w:r>
      <w:r w:rsidR="00AC284C">
        <w:rPr>
          <w:bCs/>
        </w:rPr>
        <w:t>several</w:t>
      </w:r>
      <w:r>
        <w:rPr>
          <w:bCs/>
        </w:rPr>
        <w:t xml:space="preserve"> approaches for sharing continuous data.</w:t>
      </w:r>
      <w:r w:rsidR="00C674F9">
        <w:rPr>
          <w:bCs/>
        </w:rPr>
        <w:t xml:space="preserve"> </w:t>
      </w:r>
      <w:r>
        <w:rPr>
          <w:bCs/>
        </w:rPr>
        <w:t xml:space="preserve">No </w:t>
      </w:r>
      <w:r w:rsidR="002C2675">
        <w:rPr>
          <w:bCs/>
        </w:rPr>
        <w:t>single</w:t>
      </w:r>
      <w:r>
        <w:rPr>
          <w:bCs/>
        </w:rPr>
        <w:t xml:space="preserve"> approach is inherently wrong and </w:t>
      </w:r>
      <w:proofErr w:type="gramStart"/>
      <w:r>
        <w:rPr>
          <w:bCs/>
        </w:rPr>
        <w:t>all of</w:t>
      </w:r>
      <w:proofErr w:type="gramEnd"/>
      <w:r>
        <w:rPr>
          <w:bCs/>
        </w:rPr>
        <w:t xml:space="preserve"> the approaches meet the specific needs for which they were designed.</w:t>
      </w:r>
      <w:r w:rsidR="00C674F9">
        <w:rPr>
          <w:bCs/>
        </w:rPr>
        <w:t xml:space="preserve"> </w:t>
      </w:r>
      <w:r>
        <w:rPr>
          <w:bCs/>
        </w:rPr>
        <w:t xml:space="preserve">This report should not be read as an </w:t>
      </w:r>
      <w:r w:rsidR="00CD70DB">
        <w:rPr>
          <w:bCs/>
        </w:rPr>
        <w:t>evaluation</w:t>
      </w:r>
      <w:r>
        <w:rPr>
          <w:bCs/>
        </w:rPr>
        <w:t xml:space="preserve"> of the overall value of any of the standards evaluated here.</w:t>
      </w:r>
      <w:r w:rsidR="00C674F9">
        <w:rPr>
          <w:bCs/>
        </w:rPr>
        <w:t xml:space="preserve"> </w:t>
      </w:r>
      <w:r>
        <w:rPr>
          <w:bCs/>
        </w:rPr>
        <w:t xml:space="preserve">Rather </w:t>
      </w:r>
      <w:r w:rsidR="00AC284C">
        <w:rPr>
          <w:bCs/>
        </w:rPr>
        <w:t>it</w:t>
      </w:r>
      <w:r w:rsidR="002C2675">
        <w:rPr>
          <w:bCs/>
        </w:rPr>
        <w:t xml:space="preserve"> seeks</w:t>
      </w:r>
      <w:r>
        <w:rPr>
          <w:bCs/>
        </w:rPr>
        <w:t xml:space="preserve"> to provide a </w:t>
      </w:r>
      <w:r w:rsidR="00CD70DB">
        <w:rPr>
          <w:bCs/>
        </w:rPr>
        <w:t>systematic way of recommending a</w:t>
      </w:r>
      <w:r w:rsidR="00AC284C">
        <w:rPr>
          <w:bCs/>
        </w:rPr>
        <w:t>n approach for EPA, state, and T</w:t>
      </w:r>
      <w:r w:rsidR="00CD70DB">
        <w:rPr>
          <w:bCs/>
        </w:rPr>
        <w:t>ribal agencies to have their data be interoperable.</w:t>
      </w:r>
      <w:r w:rsidR="00677BC4">
        <w:rPr>
          <w:bCs/>
        </w:rPr>
        <w:t xml:space="preserve"> In addition to data standards, agencies </w:t>
      </w:r>
      <w:r w:rsidR="00CD70DB">
        <w:rPr>
          <w:bCs/>
        </w:rPr>
        <w:t xml:space="preserve">should consider </w:t>
      </w:r>
      <w:r w:rsidR="006010BD">
        <w:rPr>
          <w:bCs/>
        </w:rPr>
        <w:t>the architecture for an interoperable system and a metadata model for describing data quality.</w:t>
      </w:r>
    </w:p>
    <w:p w14:paraId="6679E1C8" w14:textId="30BEEA2B" w:rsidR="00697D3C" w:rsidRDefault="00697D3C" w:rsidP="00697D3C">
      <w:pPr>
        <w:pStyle w:val="Heading2"/>
        <w:rPr>
          <w:rFonts w:ascii="Calibri" w:eastAsia="Calibri" w:hAnsi="Calibri" w:cs="Calibri"/>
        </w:rPr>
      </w:pPr>
      <w:r w:rsidRPr="005C4D97" w:rsidDel="00C57E22">
        <w:rPr>
          <w:rFonts w:ascii="Calibri" w:eastAsia="Calibri" w:hAnsi="Calibri" w:cs="Calibri"/>
        </w:rPr>
        <w:t>Criteria Used for Evaluation</w:t>
      </w:r>
    </w:p>
    <w:p w14:paraId="6CD7A034" w14:textId="1AD5E482" w:rsidR="00697D3C" w:rsidDel="00C57E22" w:rsidRDefault="00697D3C" w:rsidP="00697D3C">
      <w:r>
        <w:t>To provide a framework by which to evaluate existing standards and approaches, the team developed a suite of evaluation criteria to help distinguish between the various pros and cons of each standard.</w:t>
      </w:r>
      <w:r w:rsidR="00C674F9">
        <w:t xml:space="preserve"> </w:t>
      </w:r>
      <w:r>
        <w:t xml:space="preserve">For the purposes of the evaluation, it was determined that </w:t>
      </w:r>
      <w:proofErr w:type="gramStart"/>
      <w:r>
        <w:t>all of these</w:t>
      </w:r>
      <w:proofErr w:type="gramEnd"/>
      <w:r>
        <w:t xml:space="preserve"> standards that are part of this review met the basic requirement of a data standard in that they each define a suite of data elements and rules by which information </w:t>
      </w:r>
      <w:r w:rsidR="00CD70DB">
        <w:t>can be shared.</w:t>
      </w:r>
      <w:r w:rsidR="00C674F9">
        <w:t xml:space="preserve"> </w:t>
      </w:r>
      <w:r w:rsidR="00CD70DB">
        <w:t>Table 1</w:t>
      </w:r>
      <w:r>
        <w:t xml:space="preserve"> below shows the rankings for each of the standards that were evaluated based on the below criteria.</w:t>
      </w:r>
    </w:p>
    <w:p w14:paraId="7CBB8979" w14:textId="78C34E26" w:rsidR="00697D3C" w:rsidDel="00C57E22" w:rsidRDefault="00697D3C" w:rsidP="00AF1554">
      <w:r w:rsidRPr="00E410D0" w:rsidDel="00C57E22">
        <w:rPr>
          <w:rFonts w:ascii="Calibri" w:eastAsia="Calibri" w:hAnsi="Calibri" w:cs="Calibri"/>
          <w:b/>
          <w:bCs/>
        </w:rPr>
        <w:t xml:space="preserve">Market Maturity: </w:t>
      </w:r>
      <w:r w:rsidR="0086027C">
        <w:rPr>
          <w:rFonts w:ascii="Calibri" w:eastAsia="Calibri" w:hAnsi="Calibri" w:cs="Calibri"/>
          <w:bCs/>
        </w:rPr>
        <w:t>The extent to which the standard is used outside of government and a community exists to promote and support the standard.</w:t>
      </w:r>
    </w:p>
    <w:p w14:paraId="4195E0DE" w14:textId="545DC026" w:rsidR="00697D3C" w:rsidRPr="00AF1554" w:rsidDel="00C57E22" w:rsidRDefault="00697D3C" w:rsidP="00697D3C">
      <w:pPr>
        <w:rPr>
          <w:rFonts w:ascii="Calibri" w:eastAsia="Calibri" w:hAnsi="Calibri" w:cs="Calibri"/>
          <w:bCs/>
        </w:rPr>
      </w:pPr>
      <w:r w:rsidRPr="0043445D" w:rsidDel="00C57E22">
        <w:rPr>
          <w:rFonts w:ascii="Calibri" w:eastAsia="Calibri" w:hAnsi="Calibri" w:cs="Calibri"/>
          <w:b/>
          <w:bCs/>
        </w:rPr>
        <w:t xml:space="preserve">Ease of </w:t>
      </w:r>
      <w:r w:rsidR="00E00BF9">
        <w:rPr>
          <w:rFonts w:ascii="Calibri" w:eastAsia="Calibri" w:hAnsi="Calibri" w:cs="Calibri"/>
          <w:b/>
          <w:bCs/>
        </w:rPr>
        <w:t>Discovery</w:t>
      </w:r>
      <w:r w:rsidRPr="0043445D" w:rsidDel="00C57E22">
        <w:rPr>
          <w:rFonts w:ascii="Calibri" w:eastAsia="Calibri" w:hAnsi="Calibri" w:cs="Calibri"/>
          <w:b/>
          <w:bCs/>
        </w:rPr>
        <w:t>:</w:t>
      </w:r>
      <w:r w:rsidR="00C674F9">
        <w:rPr>
          <w:rFonts w:ascii="Calibri" w:eastAsia="Calibri" w:hAnsi="Calibri" w:cs="Calibri"/>
          <w:bCs/>
        </w:rPr>
        <w:t xml:space="preserve"> </w:t>
      </w:r>
      <w:r w:rsidR="0086027C">
        <w:rPr>
          <w:rFonts w:ascii="Calibri" w:eastAsia="Calibri" w:hAnsi="Calibri" w:cs="Calibri"/>
          <w:bCs/>
        </w:rPr>
        <w:t>The ability to discover and query data published using this standard.</w:t>
      </w:r>
    </w:p>
    <w:p w14:paraId="76D5F530" w14:textId="6555D0D2" w:rsidR="00697D3C" w:rsidRPr="00AF1554" w:rsidDel="00C57E22" w:rsidRDefault="00697D3C" w:rsidP="00697D3C">
      <w:pPr>
        <w:rPr>
          <w:rFonts w:ascii="Calibri" w:eastAsia="Calibri" w:hAnsi="Calibri" w:cs="Calibri"/>
          <w:bCs/>
        </w:rPr>
      </w:pPr>
      <w:r w:rsidRPr="0043445D" w:rsidDel="00C57E22">
        <w:rPr>
          <w:rFonts w:ascii="Calibri" w:eastAsia="Calibri" w:hAnsi="Calibri" w:cs="Calibri"/>
          <w:b/>
          <w:bCs/>
        </w:rPr>
        <w:t>Government Use:</w:t>
      </w:r>
      <w:r w:rsidR="00C674F9">
        <w:rPr>
          <w:rFonts w:ascii="Calibri" w:eastAsia="Calibri" w:hAnsi="Calibri" w:cs="Calibri"/>
          <w:bCs/>
        </w:rPr>
        <w:t xml:space="preserve"> </w:t>
      </w:r>
      <w:r w:rsidR="0086027C">
        <w:rPr>
          <w:rFonts w:ascii="Calibri" w:eastAsia="Calibri" w:hAnsi="Calibri" w:cs="Calibri"/>
          <w:bCs/>
        </w:rPr>
        <w:t>The extent to which the standard is used by U.S. government agencies.</w:t>
      </w:r>
    </w:p>
    <w:p w14:paraId="16A69FE4" w14:textId="2878F1A7" w:rsidR="00697D3C" w:rsidDel="00C57E22" w:rsidRDefault="00697D3C" w:rsidP="00AF1554">
      <w:pPr>
        <w:rPr>
          <w:rFonts w:ascii="Calibri" w:eastAsia="Calibri" w:hAnsi="Calibri" w:cs="Calibri"/>
        </w:rPr>
      </w:pPr>
      <w:r w:rsidRPr="0043445D" w:rsidDel="00C57E22">
        <w:rPr>
          <w:rFonts w:ascii="Calibri" w:eastAsia="Calibri" w:hAnsi="Calibri" w:cs="Calibri"/>
          <w:b/>
          <w:bCs/>
        </w:rPr>
        <w:t>Data Quality Documentation:</w:t>
      </w:r>
      <w:r w:rsidR="0086027C">
        <w:rPr>
          <w:rFonts w:ascii="Calibri" w:eastAsia="Calibri" w:hAnsi="Calibri" w:cs="Calibri"/>
          <w:b/>
          <w:bCs/>
        </w:rPr>
        <w:t xml:space="preserve"> </w:t>
      </w:r>
      <w:r w:rsidR="0086027C">
        <w:rPr>
          <w:rFonts w:ascii="Calibri" w:eastAsia="Calibri" w:hAnsi="Calibri" w:cs="Calibri"/>
          <w:bCs/>
        </w:rPr>
        <w:t>The built-in capability of the standard to provide the data elements that would allow a user to determine the quality of the data.</w:t>
      </w:r>
    </w:p>
    <w:p w14:paraId="34C6508A" w14:textId="2A1C9417" w:rsidR="00697D3C" w:rsidRDefault="00697D3C" w:rsidP="00AF1554">
      <w:pPr>
        <w:rPr>
          <w:rFonts w:ascii="Calibri" w:eastAsia="Calibri" w:hAnsi="Calibri" w:cs="Calibri"/>
        </w:rPr>
      </w:pPr>
      <w:r w:rsidRPr="0043445D" w:rsidDel="00C57E22">
        <w:rPr>
          <w:rFonts w:ascii="Calibri" w:eastAsia="Calibri" w:hAnsi="Calibri" w:cs="Calibri"/>
          <w:b/>
          <w:bCs/>
        </w:rPr>
        <w:t>Off-the-Shelf/Community Support:</w:t>
      </w:r>
      <w:r w:rsidR="00C674F9">
        <w:rPr>
          <w:rFonts w:ascii="Calibri" w:eastAsia="Calibri" w:hAnsi="Calibri" w:cs="Calibri"/>
          <w:bCs/>
        </w:rPr>
        <w:t xml:space="preserve"> </w:t>
      </w:r>
      <w:r w:rsidR="0086027C">
        <w:rPr>
          <w:rFonts w:ascii="Calibri" w:eastAsia="Calibri" w:hAnsi="Calibri" w:cs="Calibri"/>
          <w:bCs/>
        </w:rPr>
        <w:t>The extent to which third-party developers have developed off-the-shelf software that support or implement the standard.</w:t>
      </w:r>
    </w:p>
    <w:p w14:paraId="786B85EB" w14:textId="71359D3F" w:rsidR="00697D3C" w:rsidRPr="00AF1554" w:rsidDel="00C57E22" w:rsidRDefault="00697D3C" w:rsidP="00697D3C">
      <w:pPr>
        <w:rPr>
          <w:rFonts w:ascii="Calibri" w:eastAsia="Calibri" w:hAnsi="Calibri" w:cs="Calibri"/>
          <w:b/>
        </w:rPr>
      </w:pPr>
      <w:r w:rsidRPr="0043445D" w:rsidDel="00C57E22">
        <w:rPr>
          <w:rFonts w:ascii="Calibri" w:eastAsia="Calibri" w:hAnsi="Calibri" w:cs="Calibri"/>
          <w:b/>
          <w:bCs/>
        </w:rPr>
        <w:t>Use Cases:</w:t>
      </w:r>
      <w:r w:rsidR="00C674F9">
        <w:rPr>
          <w:rFonts w:ascii="Calibri" w:eastAsia="Calibri" w:hAnsi="Calibri" w:cs="Calibri"/>
          <w:b/>
          <w:bCs/>
        </w:rPr>
        <w:t xml:space="preserve"> </w:t>
      </w:r>
      <w:r w:rsidR="0086027C">
        <w:rPr>
          <w:rFonts w:ascii="Calibri" w:eastAsia="Calibri" w:hAnsi="Calibri" w:cs="Calibri"/>
          <w:bCs/>
        </w:rPr>
        <w:t>Does the standard support the following four use cases:</w:t>
      </w:r>
    </w:p>
    <w:p w14:paraId="4FFD93D0" w14:textId="6112E0B5" w:rsidR="00697D3C" w:rsidRPr="0043445D" w:rsidDel="00C57E22" w:rsidRDefault="00697D3C" w:rsidP="00A21B87">
      <w:pPr>
        <w:pStyle w:val="ListParagraph"/>
        <w:numPr>
          <w:ilvl w:val="0"/>
          <w:numId w:val="25"/>
        </w:numPr>
        <w:rPr>
          <w:rFonts w:ascii="Calibri" w:eastAsia="Calibri" w:hAnsi="Calibri" w:cs="Calibri"/>
          <w:b/>
          <w:bCs/>
        </w:rPr>
      </w:pPr>
      <w:r w:rsidDel="00C57E22">
        <w:rPr>
          <w:rFonts w:ascii="Calibri" w:eastAsia="Calibri" w:hAnsi="Calibri" w:cs="Calibri"/>
        </w:rPr>
        <w:t>Provide real-time access to sensor data.</w:t>
      </w:r>
      <w:r w:rsidR="00C674F9">
        <w:rPr>
          <w:rFonts w:ascii="Calibri" w:eastAsia="Calibri" w:hAnsi="Calibri" w:cs="Calibri"/>
        </w:rPr>
        <w:t xml:space="preserve"> </w:t>
      </w:r>
      <w:r w:rsidDel="00C57E22">
        <w:rPr>
          <w:rFonts w:ascii="Calibri" w:eastAsia="Calibri" w:hAnsi="Calibri" w:cs="Calibri"/>
        </w:rPr>
        <w:t>“Tell me the value right now, or at least the last reading.”</w:t>
      </w:r>
    </w:p>
    <w:p w14:paraId="4E1C6DC0" w14:textId="77777777" w:rsidR="00697D3C" w:rsidRPr="0043445D" w:rsidDel="00C57E22" w:rsidRDefault="00697D3C" w:rsidP="00A21B87">
      <w:pPr>
        <w:pStyle w:val="ListParagraph"/>
        <w:numPr>
          <w:ilvl w:val="0"/>
          <w:numId w:val="25"/>
        </w:numPr>
        <w:rPr>
          <w:rFonts w:ascii="Calibri" w:eastAsia="Calibri" w:hAnsi="Calibri" w:cs="Calibri"/>
          <w:b/>
          <w:bCs/>
        </w:rPr>
      </w:pPr>
      <w:r w:rsidDel="00C57E22">
        <w:rPr>
          <w:rFonts w:ascii="Calibri" w:eastAsia="Calibri" w:hAnsi="Calibri" w:cs="Calibri"/>
        </w:rPr>
        <w:t>Query the data by date and parameter, and allow the retrieval of large amounts of data quickly and efficiently.</w:t>
      </w:r>
    </w:p>
    <w:p w14:paraId="33AB3AC3" w14:textId="504BA61B" w:rsidR="00697D3C" w:rsidRPr="00A21B87" w:rsidDel="00C57E22" w:rsidRDefault="00697D3C" w:rsidP="00A21B87">
      <w:pPr>
        <w:pStyle w:val="ListParagraph"/>
        <w:numPr>
          <w:ilvl w:val="0"/>
          <w:numId w:val="25"/>
        </w:numPr>
        <w:rPr>
          <w:rFonts w:ascii="Calibri" w:eastAsia="Calibri" w:hAnsi="Calibri" w:cs="Calibri"/>
          <w:b/>
          <w:bCs/>
        </w:rPr>
      </w:pPr>
      <w:r w:rsidDel="00C57E22">
        <w:rPr>
          <w:rFonts w:ascii="Calibri" w:eastAsia="Calibri" w:hAnsi="Calibri" w:cs="Calibri"/>
        </w:rPr>
        <w:t>Allow for data ownership.</w:t>
      </w:r>
      <w:r w:rsidR="00C674F9">
        <w:rPr>
          <w:rFonts w:ascii="Calibri" w:eastAsia="Calibri" w:hAnsi="Calibri" w:cs="Calibri"/>
        </w:rPr>
        <w:t xml:space="preserve"> </w:t>
      </w:r>
      <w:r w:rsidDel="00C57E22">
        <w:rPr>
          <w:rFonts w:ascii="Calibri" w:eastAsia="Calibri" w:hAnsi="Calibri" w:cs="Calibri"/>
        </w:rPr>
        <w:t xml:space="preserve">Easily identify who owns the data when data are being provided by multiple different entities, and allow for </w:t>
      </w:r>
      <w:r w:rsidR="00F37AEF">
        <w:rPr>
          <w:rFonts w:ascii="Calibri" w:eastAsia="Calibri" w:hAnsi="Calibri" w:cs="Calibri"/>
        </w:rPr>
        <w:t>system</w:t>
      </w:r>
      <w:r w:rsidR="00F37AEF" w:rsidDel="00C57E22">
        <w:rPr>
          <w:rFonts w:ascii="Calibri" w:eastAsia="Calibri" w:hAnsi="Calibri" w:cs="Calibri"/>
        </w:rPr>
        <w:t xml:space="preserve"> </w:t>
      </w:r>
      <w:r w:rsidDel="00C57E22">
        <w:rPr>
          <w:rFonts w:ascii="Calibri" w:eastAsia="Calibri" w:hAnsi="Calibri" w:cs="Calibri"/>
        </w:rPr>
        <w:t>retrieval of relevant data quality information across organizations.</w:t>
      </w:r>
    </w:p>
    <w:p w14:paraId="4AFA26C7" w14:textId="77777777" w:rsidR="00697D3C" w:rsidRPr="0043445D" w:rsidDel="00C57E22" w:rsidRDefault="00697D3C" w:rsidP="00A21B87">
      <w:pPr>
        <w:pStyle w:val="ListParagraph"/>
        <w:numPr>
          <w:ilvl w:val="0"/>
          <w:numId w:val="25"/>
        </w:numPr>
        <w:rPr>
          <w:rFonts w:ascii="Calibri" w:eastAsia="Calibri" w:hAnsi="Calibri" w:cs="Calibri"/>
          <w:b/>
          <w:bCs/>
        </w:rPr>
      </w:pPr>
      <w:r w:rsidDel="00C57E22">
        <w:rPr>
          <w:rFonts w:ascii="Calibri" w:eastAsia="Calibri" w:hAnsi="Calibri" w:cs="Calibri"/>
        </w:rPr>
        <w:t>Allow for long-term archiving of high temporal-density data sets.</w:t>
      </w:r>
    </w:p>
    <w:p w14:paraId="2ED9339D" w14:textId="2BB88856" w:rsidR="002157D5" w:rsidRDefault="00697D3C">
      <w:pPr>
        <w:rPr>
          <w:bCs/>
        </w:rPr>
      </w:pPr>
      <w:r w:rsidRPr="0043445D" w:rsidDel="00C57E22">
        <w:rPr>
          <w:b/>
          <w:bCs/>
        </w:rPr>
        <w:t>Multimedia:</w:t>
      </w:r>
      <w:r w:rsidR="00C674F9">
        <w:rPr>
          <w:bCs/>
        </w:rPr>
        <w:t xml:space="preserve"> </w:t>
      </w:r>
      <w:r w:rsidR="0086027C">
        <w:rPr>
          <w:bCs/>
        </w:rPr>
        <w:t>Has the standard been designed and/or tested to share both air and water data.</w:t>
      </w:r>
    </w:p>
    <w:p w14:paraId="61530CE1" w14:textId="77777777" w:rsidR="002157D5" w:rsidRDefault="002157D5">
      <w:pPr>
        <w:rPr>
          <w:bCs/>
        </w:rPr>
      </w:pPr>
      <w:r>
        <w:rPr>
          <w:bCs/>
        </w:rPr>
        <w:br w:type="page"/>
      </w:r>
    </w:p>
    <w:p w14:paraId="4F813AC5" w14:textId="77777777" w:rsidR="004D11B3" w:rsidRPr="00C079F2" w:rsidRDefault="004D11B3"/>
    <w:tbl>
      <w:tblPr>
        <w:tblpPr w:leftFromText="187" w:rightFromText="187" w:vertAnchor="text" w:horzAnchor="margin" w:tblpXSpec="center" w:tblpY="378"/>
        <w:tblOverlap w:val="never"/>
        <w:tblW w:w="10800" w:type="dxa"/>
        <w:tblLayout w:type="fixed"/>
        <w:tblLook w:val="04A0" w:firstRow="1" w:lastRow="0" w:firstColumn="1" w:lastColumn="0" w:noHBand="0" w:noVBand="1"/>
      </w:tblPr>
      <w:tblGrid>
        <w:gridCol w:w="1705"/>
        <w:gridCol w:w="725"/>
        <w:gridCol w:w="895"/>
        <w:gridCol w:w="1080"/>
        <w:gridCol w:w="1355"/>
        <w:gridCol w:w="1525"/>
        <w:gridCol w:w="1265"/>
        <w:gridCol w:w="990"/>
        <w:gridCol w:w="1260"/>
      </w:tblGrid>
      <w:tr w:rsidR="00733D2E" w:rsidRPr="006251B4" w14:paraId="61C5FD78" w14:textId="77777777" w:rsidTr="0001610F">
        <w:trPr>
          <w:trHeight w:val="791"/>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05E64" w14:textId="77777777" w:rsidR="00733D2E" w:rsidRPr="00592EAF" w:rsidRDefault="00733D2E" w:rsidP="00733D2E">
            <w:pPr>
              <w:spacing w:after="0" w:line="240" w:lineRule="auto"/>
              <w:rPr>
                <w:rFonts w:ascii="Calibri" w:eastAsia="Times New Roman" w:hAnsi="Calibri" w:cs="Times New Roman"/>
                <w:b/>
                <w:bCs/>
                <w:color w:val="000000"/>
                <w:sz w:val="20"/>
                <w:szCs w:val="20"/>
              </w:rPr>
            </w:pPr>
            <w:r w:rsidRPr="00592EAF">
              <w:rPr>
                <w:rFonts w:ascii="Calibri" w:eastAsia="Times New Roman" w:hAnsi="Calibri" w:cs="Times New Roman"/>
                <w:b/>
                <w:bCs/>
                <w:color w:val="000000"/>
                <w:sz w:val="20"/>
                <w:szCs w:val="20"/>
              </w:rPr>
              <w:t>Standard</w:t>
            </w:r>
          </w:p>
        </w:tc>
        <w:tc>
          <w:tcPr>
            <w:tcW w:w="725" w:type="dxa"/>
            <w:tcBorders>
              <w:top w:val="single" w:sz="4" w:space="0" w:color="auto"/>
              <w:left w:val="nil"/>
              <w:bottom w:val="single" w:sz="4" w:space="0" w:color="auto"/>
              <w:right w:val="single" w:sz="4" w:space="0" w:color="auto"/>
            </w:tcBorders>
            <w:shd w:val="clear" w:color="auto" w:fill="auto"/>
            <w:vAlign w:val="center"/>
            <w:hideMark/>
          </w:tcPr>
          <w:p w14:paraId="56F1D62E" w14:textId="77777777" w:rsidR="00733D2E" w:rsidRPr="00592EAF" w:rsidRDefault="00733D2E" w:rsidP="00733D2E">
            <w:pPr>
              <w:spacing w:after="0" w:line="240" w:lineRule="auto"/>
              <w:jc w:val="center"/>
              <w:rPr>
                <w:rFonts w:ascii="Calibri" w:eastAsia="Times New Roman" w:hAnsi="Calibri" w:cs="Times New Roman"/>
                <w:b/>
                <w:bCs/>
                <w:color w:val="000000"/>
                <w:sz w:val="20"/>
                <w:szCs w:val="20"/>
              </w:rPr>
            </w:pPr>
            <w:r w:rsidRPr="00592EAF">
              <w:rPr>
                <w:rFonts w:ascii="Calibri" w:eastAsia="Times New Roman" w:hAnsi="Calibri" w:cs="Times New Roman"/>
                <w:b/>
                <w:bCs/>
                <w:color w:val="000000"/>
                <w:sz w:val="20"/>
                <w:szCs w:val="20"/>
              </w:rPr>
              <w:t>Score (7 max)</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16B287DC" w14:textId="77777777" w:rsidR="00733D2E" w:rsidRPr="00592EAF" w:rsidRDefault="00733D2E" w:rsidP="00733D2E">
            <w:pPr>
              <w:spacing w:after="0" w:line="240" w:lineRule="auto"/>
              <w:jc w:val="center"/>
              <w:rPr>
                <w:rFonts w:ascii="Calibri" w:eastAsia="Times New Roman" w:hAnsi="Calibri" w:cs="Times New Roman"/>
                <w:b/>
                <w:bCs/>
                <w:color w:val="000000"/>
                <w:sz w:val="20"/>
                <w:szCs w:val="20"/>
              </w:rPr>
            </w:pPr>
            <w:r w:rsidRPr="00592EAF">
              <w:rPr>
                <w:rFonts w:ascii="Calibri" w:eastAsia="Times New Roman" w:hAnsi="Calibri" w:cs="Times New Roman"/>
                <w:b/>
                <w:bCs/>
                <w:color w:val="000000"/>
                <w:sz w:val="18"/>
                <w:szCs w:val="20"/>
              </w:rPr>
              <w:t>Market Maturity</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A12AF5A" w14:textId="77777777" w:rsidR="00733D2E" w:rsidRPr="00592EAF" w:rsidRDefault="00733D2E" w:rsidP="00733D2E">
            <w:pPr>
              <w:spacing w:after="0" w:line="240" w:lineRule="auto"/>
              <w:jc w:val="center"/>
              <w:rPr>
                <w:rFonts w:ascii="Calibri" w:eastAsia="Times New Roman" w:hAnsi="Calibri" w:cs="Times New Roman"/>
                <w:b/>
                <w:bCs/>
                <w:color w:val="000000"/>
                <w:sz w:val="20"/>
                <w:szCs w:val="20"/>
              </w:rPr>
            </w:pPr>
            <w:r w:rsidRPr="00592EAF">
              <w:rPr>
                <w:rFonts w:ascii="Calibri" w:eastAsia="Times New Roman" w:hAnsi="Calibri" w:cs="Times New Roman"/>
                <w:b/>
                <w:bCs/>
                <w:color w:val="000000"/>
                <w:sz w:val="20"/>
                <w:szCs w:val="20"/>
              </w:rPr>
              <w:t>Ease of Discovery</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14:paraId="19DE04E3" w14:textId="77777777" w:rsidR="00733D2E" w:rsidRPr="00592EAF" w:rsidRDefault="00733D2E" w:rsidP="00733D2E">
            <w:pPr>
              <w:spacing w:after="0" w:line="240" w:lineRule="auto"/>
              <w:jc w:val="center"/>
              <w:rPr>
                <w:rFonts w:ascii="Calibri" w:eastAsia="Times New Roman" w:hAnsi="Calibri" w:cs="Times New Roman"/>
                <w:b/>
                <w:bCs/>
                <w:color w:val="000000"/>
                <w:sz w:val="20"/>
                <w:szCs w:val="20"/>
              </w:rPr>
            </w:pPr>
            <w:r w:rsidRPr="00592EAF">
              <w:rPr>
                <w:rFonts w:ascii="Calibri" w:eastAsia="Times New Roman" w:hAnsi="Calibri" w:cs="Times New Roman"/>
                <w:b/>
                <w:bCs/>
                <w:color w:val="000000"/>
                <w:sz w:val="20"/>
                <w:szCs w:val="20"/>
              </w:rPr>
              <w:t>Government Use</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756E2F3C" w14:textId="77777777" w:rsidR="00733D2E" w:rsidRPr="00592EAF" w:rsidRDefault="00733D2E" w:rsidP="00733D2E">
            <w:pPr>
              <w:spacing w:after="0" w:line="240" w:lineRule="auto"/>
              <w:jc w:val="center"/>
              <w:rPr>
                <w:rFonts w:ascii="Calibri" w:eastAsia="Times New Roman" w:hAnsi="Calibri" w:cs="Times New Roman"/>
                <w:b/>
                <w:bCs/>
                <w:color w:val="000000"/>
                <w:sz w:val="20"/>
                <w:szCs w:val="20"/>
              </w:rPr>
            </w:pPr>
            <w:r w:rsidRPr="00592EAF">
              <w:rPr>
                <w:rFonts w:ascii="Calibri" w:eastAsia="Times New Roman" w:hAnsi="Calibri" w:cs="Times New Roman"/>
                <w:b/>
                <w:bCs/>
                <w:color w:val="000000"/>
                <w:sz w:val="20"/>
                <w:szCs w:val="20"/>
              </w:rPr>
              <w:t>Data Quality Documentation</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F170889" w14:textId="77777777" w:rsidR="00733D2E" w:rsidRPr="00592EAF" w:rsidRDefault="00733D2E" w:rsidP="00733D2E">
            <w:pPr>
              <w:spacing w:after="0" w:line="240" w:lineRule="auto"/>
              <w:jc w:val="center"/>
              <w:rPr>
                <w:rFonts w:ascii="Calibri" w:eastAsia="Times New Roman" w:hAnsi="Calibri" w:cs="Times New Roman"/>
                <w:b/>
                <w:bCs/>
                <w:color w:val="000000"/>
                <w:sz w:val="20"/>
                <w:szCs w:val="20"/>
              </w:rPr>
            </w:pPr>
            <w:r w:rsidRPr="0001610F">
              <w:rPr>
                <w:rFonts w:ascii="Calibri" w:eastAsia="Times New Roman" w:hAnsi="Calibri" w:cs="Times New Roman"/>
                <w:b/>
                <w:bCs/>
                <w:color w:val="000000"/>
                <w:sz w:val="18"/>
                <w:szCs w:val="20"/>
              </w:rPr>
              <w:t>Off-the-Shelf/ Community Support</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51AF2D6F" w14:textId="77777777" w:rsidR="00733D2E" w:rsidRPr="00592EAF" w:rsidRDefault="00733D2E" w:rsidP="00733D2E">
            <w:pPr>
              <w:spacing w:after="0" w:line="240" w:lineRule="auto"/>
              <w:jc w:val="center"/>
              <w:rPr>
                <w:rFonts w:ascii="Calibri" w:eastAsia="Times New Roman" w:hAnsi="Calibri" w:cs="Times New Roman"/>
                <w:b/>
                <w:bCs/>
                <w:color w:val="000000"/>
                <w:sz w:val="20"/>
                <w:szCs w:val="20"/>
              </w:rPr>
            </w:pPr>
            <w:r w:rsidRPr="00592EAF">
              <w:rPr>
                <w:rFonts w:ascii="Calibri" w:eastAsia="Times New Roman" w:hAnsi="Calibri" w:cs="Times New Roman"/>
                <w:b/>
                <w:bCs/>
                <w:color w:val="000000"/>
                <w:sz w:val="20"/>
                <w:szCs w:val="20"/>
              </w:rPr>
              <w:t>Meets Use Cases</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86EE7F8" w14:textId="77777777" w:rsidR="00733D2E" w:rsidRPr="00592EAF" w:rsidRDefault="00733D2E" w:rsidP="00733D2E">
            <w:pPr>
              <w:spacing w:after="0" w:line="240" w:lineRule="auto"/>
              <w:jc w:val="center"/>
              <w:rPr>
                <w:rFonts w:ascii="Calibri" w:eastAsia="Times New Roman" w:hAnsi="Calibri" w:cs="Times New Roman"/>
                <w:b/>
                <w:bCs/>
                <w:color w:val="000000"/>
                <w:sz w:val="20"/>
                <w:szCs w:val="20"/>
              </w:rPr>
            </w:pPr>
            <w:r w:rsidRPr="00592EAF">
              <w:rPr>
                <w:rFonts w:ascii="Calibri" w:eastAsia="Times New Roman" w:hAnsi="Calibri" w:cs="Times New Roman"/>
                <w:b/>
                <w:bCs/>
                <w:color w:val="000000"/>
                <w:sz w:val="20"/>
                <w:szCs w:val="20"/>
              </w:rPr>
              <w:t>Multimedia</w:t>
            </w:r>
          </w:p>
        </w:tc>
      </w:tr>
      <w:tr w:rsidR="00733D2E" w:rsidRPr="006251B4" w14:paraId="2EF94872" w14:textId="77777777" w:rsidTr="0001610F">
        <w:trPr>
          <w:trHeight w:val="300"/>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0399BF69" w14:textId="77777777" w:rsidR="00733D2E" w:rsidRPr="00592EAF" w:rsidRDefault="00733D2E" w:rsidP="00733D2E">
            <w:pPr>
              <w:spacing w:after="0" w:line="240" w:lineRule="auto"/>
              <w:jc w:val="both"/>
              <w:rPr>
                <w:rFonts w:ascii="Calibri" w:eastAsia="Times New Roman" w:hAnsi="Calibri" w:cs="Times New Roman"/>
                <w:b/>
                <w:bCs/>
                <w:color w:val="000000"/>
                <w:sz w:val="20"/>
                <w:szCs w:val="20"/>
              </w:rPr>
            </w:pPr>
            <w:proofErr w:type="spellStart"/>
            <w:proofErr w:type="gramStart"/>
            <w:r w:rsidRPr="00592EAF">
              <w:rPr>
                <w:rFonts w:ascii="Calibri" w:eastAsia="Times New Roman" w:hAnsi="Calibri" w:cs="Times New Roman"/>
                <w:b/>
                <w:bCs/>
                <w:color w:val="000000"/>
                <w:sz w:val="20"/>
                <w:szCs w:val="20"/>
              </w:rPr>
              <w:t>OGC:SensorML</w:t>
            </w:r>
            <w:proofErr w:type="spellEnd"/>
            <w:proofErr w:type="gramEnd"/>
            <w:r w:rsidRPr="00592EAF">
              <w:rPr>
                <w:rFonts w:ascii="Calibri" w:eastAsia="Times New Roman" w:hAnsi="Calibri" w:cs="Times New Roman"/>
                <w:b/>
                <w:bCs/>
                <w:color w:val="000000"/>
                <w:sz w:val="20"/>
                <w:szCs w:val="20"/>
              </w:rPr>
              <w:t>/</w:t>
            </w:r>
          </w:p>
          <w:p w14:paraId="3C50D851" w14:textId="77777777" w:rsidR="00733D2E" w:rsidRPr="00592EAF" w:rsidRDefault="00733D2E" w:rsidP="00733D2E">
            <w:pPr>
              <w:spacing w:after="0" w:line="240" w:lineRule="auto"/>
              <w:jc w:val="both"/>
              <w:rPr>
                <w:rFonts w:ascii="Calibri" w:eastAsia="Times New Roman" w:hAnsi="Calibri" w:cs="Times New Roman"/>
                <w:b/>
                <w:bCs/>
                <w:color w:val="000000"/>
                <w:sz w:val="20"/>
                <w:szCs w:val="20"/>
              </w:rPr>
            </w:pPr>
            <w:r w:rsidRPr="00592EAF">
              <w:rPr>
                <w:rFonts w:ascii="Calibri" w:eastAsia="Times New Roman" w:hAnsi="Calibri" w:cs="Times New Roman"/>
                <w:b/>
                <w:bCs/>
                <w:color w:val="000000"/>
                <w:sz w:val="20"/>
                <w:szCs w:val="20"/>
              </w:rPr>
              <w:t>WaterML 2.0</w:t>
            </w:r>
          </w:p>
        </w:tc>
        <w:tc>
          <w:tcPr>
            <w:tcW w:w="725" w:type="dxa"/>
            <w:tcBorders>
              <w:top w:val="nil"/>
              <w:left w:val="nil"/>
              <w:bottom w:val="single" w:sz="4" w:space="0" w:color="auto"/>
              <w:right w:val="single" w:sz="4" w:space="0" w:color="auto"/>
            </w:tcBorders>
            <w:shd w:val="clear" w:color="auto" w:fill="FFFFFF" w:themeFill="background1"/>
            <w:vAlign w:val="center"/>
            <w:hideMark/>
          </w:tcPr>
          <w:p w14:paraId="0487659C" w14:textId="77777777" w:rsidR="00733D2E" w:rsidRPr="00592EAF" w:rsidRDefault="00733D2E" w:rsidP="00733D2E">
            <w:pPr>
              <w:spacing w:after="0" w:line="240" w:lineRule="auto"/>
              <w:jc w:val="right"/>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6.5</w:t>
            </w:r>
          </w:p>
        </w:tc>
        <w:tc>
          <w:tcPr>
            <w:tcW w:w="895" w:type="dxa"/>
            <w:tcBorders>
              <w:top w:val="nil"/>
              <w:left w:val="nil"/>
              <w:bottom w:val="single" w:sz="4" w:space="0" w:color="auto"/>
              <w:right w:val="single" w:sz="4" w:space="0" w:color="auto"/>
            </w:tcBorders>
            <w:shd w:val="clear" w:color="auto" w:fill="AEAAAA" w:themeFill="background2" w:themeFillShade="BF"/>
            <w:vAlign w:val="center"/>
            <w:hideMark/>
          </w:tcPr>
          <w:p w14:paraId="5951BE67"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H</w:t>
            </w:r>
          </w:p>
        </w:tc>
        <w:tc>
          <w:tcPr>
            <w:tcW w:w="1080" w:type="dxa"/>
            <w:tcBorders>
              <w:top w:val="nil"/>
              <w:left w:val="nil"/>
              <w:bottom w:val="single" w:sz="4" w:space="0" w:color="auto"/>
              <w:right w:val="single" w:sz="4" w:space="0" w:color="auto"/>
            </w:tcBorders>
            <w:shd w:val="clear" w:color="auto" w:fill="AEAAAA" w:themeFill="background2" w:themeFillShade="BF"/>
            <w:vAlign w:val="center"/>
            <w:hideMark/>
          </w:tcPr>
          <w:p w14:paraId="3002601E"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Queryable</w:t>
            </w:r>
          </w:p>
        </w:tc>
        <w:tc>
          <w:tcPr>
            <w:tcW w:w="1355" w:type="dxa"/>
            <w:tcBorders>
              <w:top w:val="nil"/>
              <w:left w:val="nil"/>
              <w:bottom w:val="single" w:sz="4" w:space="0" w:color="auto"/>
              <w:right w:val="single" w:sz="4" w:space="0" w:color="auto"/>
            </w:tcBorders>
            <w:shd w:val="clear" w:color="auto" w:fill="AEAAAA" w:themeFill="background2" w:themeFillShade="BF"/>
            <w:vAlign w:val="center"/>
            <w:hideMark/>
          </w:tcPr>
          <w:p w14:paraId="662E2B8C"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Broad</w:t>
            </w:r>
          </w:p>
        </w:tc>
        <w:tc>
          <w:tcPr>
            <w:tcW w:w="1525" w:type="dxa"/>
            <w:tcBorders>
              <w:top w:val="nil"/>
              <w:left w:val="nil"/>
              <w:bottom w:val="single" w:sz="4" w:space="0" w:color="auto"/>
              <w:right w:val="single" w:sz="4" w:space="0" w:color="auto"/>
            </w:tcBorders>
            <w:shd w:val="clear" w:color="auto" w:fill="D0CECE"/>
            <w:vAlign w:val="center"/>
            <w:hideMark/>
          </w:tcPr>
          <w:p w14:paraId="14499319"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M </w:t>
            </w:r>
          </w:p>
        </w:tc>
        <w:tc>
          <w:tcPr>
            <w:tcW w:w="1265" w:type="dxa"/>
            <w:tcBorders>
              <w:top w:val="nil"/>
              <w:left w:val="nil"/>
              <w:bottom w:val="single" w:sz="4" w:space="0" w:color="auto"/>
              <w:right w:val="single" w:sz="4" w:space="0" w:color="auto"/>
            </w:tcBorders>
            <w:shd w:val="clear" w:color="auto" w:fill="AEAAAA" w:themeFill="background2" w:themeFillShade="BF"/>
            <w:vAlign w:val="center"/>
            <w:hideMark/>
          </w:tcPr>
          <w:p w14:paraId="659CD582"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H</w:t>
            </w:r>
          </w:p>
        </w:tc>
        <w:tc>
          <w:tcPr>
            <w:tcW w:w="990" w:type="dxa"/>
            <w:tcBorders>
              <w:top w:val="nil"/>
              <w:left w:val="nil"/>
              <w:bottom w:val="single" w:sz="4" w:space="0" w:color="auto"/>
              <w:right w:val="single" w:sz="4" w:space="0" w:color="auto"/>
            </w:tcBorders>
            <w:shd w:val="clear" w:color="auto" w:fill="AEAAAA" w:themeFill="background2" w:themeFillShade="BF"/>
            <w:vAlign w:val="center"/>
            <w:hideMark/>
          </w:tcPr>
          <w:p w14:paraId="4CB7DB9B"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 xml:space="preserve">1, 2, 3, 4 </w:t>
            </w:r>
          </w:p>
        </w:tc>
        <w:tc>
          <w:tcPr>
            <w:tcW w:w="1260" w:type="dxa"/>
            <w:tcBorders>
              <w:top w:val="nil"/>
              <w:left w:val="nil"/>
              <w:bottom w:val="single" w:sz="4" w:space="0" w:color="auto"/>
              <w:right w:val="single" w:sz="4" w:space="0" w:color="auto"/>
            </w:tcBorders>
            <w:shd w:val="clear" w:color="auto" w:fill="AEAAAA" w:themeFill="background2" w:themeFillShade="BF"/>
            <w:vAlign w:val="center"/>
            <w:hideMark/>
          </w:tcPr>
          <w:p w14:paraId="44709B0E"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Tested</w:t>
            </w:r>
          </w:p>
        </w:tc>
      </w:tr>
      <w:tr w:rsidR="00733D2E" w:rsidRPr="00AF1554" w14:paraId="268BB327" w14:textId="77777777" w:rsidTr="0001610F">
        <w:trPr>
          <w:trHeight w:val="300"/>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2C5D0785" w14:textId="77777777" w:rsidR="00733D2E" w:rsidRPr="00592EAF" w:rsidRDefault="00733D2E" w:rsidP="00733D2E">
            <w:pPr>
              <w:spacing w:after="0" w:line="240" w:lineRule="auto"/>
              <w:jc w:val="both"/>
              <w:rPr>
                <w:rFonts w:ascii="Calibri" w:eastAsia="Times New Roman" w:hAnsi="Calibri" w:cs="Times New Roman"/>
                <w:b/>
                <w:bCs/>
                <w:color w:val="000000"/>
                <w:sz w:val="20"/>
                <w:szCs w:val="20"/>
              </w:rPr>
            </w:pPr>
            <w:r w:rsidRPr="00592EAF">
              <w:rPr>
                <w:rFonts w:ascii="Calibri" w:eastAsia="Times New Roman" w:hAnsi="Calibri" w:cs="Times New Roman"/>
                <w:b/>
                <w:bCs/>
                <w:color w:val="000000"/>
                <w:sz w:val="20"/>
                <w:szCs w:val="20"/>
              </w:rPr>
              <w:t>NetCDF/CF</w:t>
            </w:r>
          </w:p>
        </w:tc>
        <w:tc>
          <w:tcPr>
            <w:tcW w:w="725" w:type="dxa"/>
            <w:tcBorders>
              <w:top w:val="nil"/>
              <w:left w:val="nil"/>
              <w:bottom w:val="single" w:sz="4" w:space="0" w:color="auto"/>
              <w:right w:val="single" w:sz="4" w:space="0" w:color="auto"/>
            </w:tcBorders>
            <w:shd w:val="clear" w:color="auto" w:fill="FFFFFF" w:themeFill="background1"/>
            <w:vAlign w:val="center"/>
            <w:hideMark/>
          </w:tcPr>
          <w:p w14:paraId="07F64573" w14:textId="77777777" w:rsidR="00733D2E" w:rsidRPr="00592EAF" w:rsidRDefault="00733D2E" w:rsidP="00733D2E">
            <w:pPr>
              <w:spacing w:after="0" w:line="240" w:lineRule="auto"/>
              <w:jc w:val="right"/>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6.5</w:t>
            </w:r>
          </w:p>
        </w:tc>
        <w:tc>
          <w:tcPr>
            <w:tcW w:w="895" w:type="dxa"/>
            <w:tcBorders>
              <w:top w:val="nil"/>
              <w:left w:val="nil"/>
              <w:bottom w:val="single" w:sz="4" w:space="0" w:color="auto"/>
              <w:right w:val="single" w:sz="4" w:space="0" w:color="auto"/>
            </w:tcBorders>
            <w:shd w:val="clear" w:color="auto" w:fill="AEAAAA" w:themeFill="background2" w:themeFillShade="BF"/>
            <w:vAlign w:val="center"/>
            <w:hideMark/>
          </w:tcPr>
          <w:p w14:paraId="0DD2EEE0"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H</w:t>
            </w:r>
          </w:p>
        </w:tc>
        <w:tc>
          <w:tcPr>
            <w:tcW w:w="1080" w:type="dxa"/>
            <w:tcBorders>
              <w:top w:val="nil"/>
              <w:left w:val="nil"/>
              <w:bottom w:val="single" w:sz="4" w:space="0" w:color="auto"/>
              <w:right w:val="single" w:sz="4" w:space="0" w:color="auto"/>
            </w:tcBorders>
            <w:shd w:val="clear" w:color="auto" w:fill="AEAAAA" w:themeFill="background2" w:themeFillShade="BF"/>
            <w:vAlign w:val="center"/>
            <w:hideMark/>
          </w:tcPr>
          <w:p w14:paraId="7022AD49"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Queryable</w:t>
            </w:r>
          </w:p>
        </w:tc>
        <w:tc>
          <w:tcPr>
            <w:tcW w:w="1355" w:type="dxa"/>
            <w:tcBorders>
              <w:top w:val="nil"/>
              <w:left w:val="nil"/>
              <w:bottom w:val="single" w:sz="4" w:space="0" w:color="auto"/>
              <w:right w:val="single" w:sz="4" w:space="0" w:color="auto"/>
            </w:tcBorders>
            <w:shd w:val="clear" w:color="auto" w:fill="AEAAAA" w:themeFill="background2" w:themeFillShade="BF"/>
            <w:vAlign w:val="center"/>
            <w:hideMark/>
          </w:tcPr>
          <w:p w14:paraId="7D5EC646"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Broad</w:t>
            </w:r>
          </w:p>
        </w:tc>
        <w:tc>
          <w:tcPr>
            <w:tcW w:w="1525" w:type="dxa"/>
            <w:tcBorders>
              <w:top w:val="nil"/>
              <w:left w:val="nil"/>
              <w:bottom w:val="single" w:sz="4" w:space="0" w:color="auto"/>
              <w:right w:val="single" w:sz="4" w:space="0" w:color="auto"/>
            </w:tcBorders>
            <w:shd w:val="clear" w:color="auto" w:fill="D0CECE"/>
            <w:vAlign w:val="center"/>
            <w:hideMark/>
          </w:tcPr>
          <w:p w14:paraId="37E955E7"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M</w:t>
            </w:r>
          </w:p>
        </w:tc>
        <w:tc>
          <w:tcPr>
            <w:tcW w:w="1265" w:type="dxa"/>
            <w:tcBorders>
              <w:top w:val="nil"/>
              <w:left w:val="nil"/>
              <w:bottom w:val="single" w:sz="4" w:space="0" w:color="auto"/>
              <w:right w:val="single" w:sz="4" w:space="0" w:color="auto"/>
            </w:tcBorders>
            <w:shd w:val="clear" w:color="auto" w:fill="AEAAAA" w:themeFill="background2" w:themeFillShade="BF"/>
            <w:vAlign w:val="center"/>
            <w:hideMark/>
          </w:tcPr>
          <w:p w14:paraId="0D915D1B"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H</w:t>
            </w:r>
          </w:p>
        </w:tc>
        <w:tc>
          <w:tcPr>
            <w:tcW w:w="990" w:type="dxa"/>
            <w:tcBorders>
              <w:top w:val="nil"/>
              <w:left w:val="nil"/>
              <w:bottom w:val="single" w:sz="4" w:space="0" w:color="auto"/>
              <w:right w:val="single" w:sz="4" w:space="0" w:color="auto"/>
            </w:tcBorders>
            <w:shd w:val="clear" w:color="auto" w:fill="AEAAAA" w:themeFill="background2" w:themeFillShade="BF"/>
            <w:vAlign w:val="center"/>
            <w:hideMark/>
          </w:tcPr>
          <w:p w14:paraId="1CAD94A6"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1, 2, 3, 4</w:t>
            </w:r>
          </w:p>
        </w:tc>
        <w:tc>
          <w:tcPr>
            <w:tcW w:w="1260" w:type="dxa"/>
            <w:tcBorders>
              <w:top w:val="nil"/>
              <w:left w:val="nil"/>
              <w:bottom w:val="single" w:sz="4" w:space="0" w:color="auto"/>
              <w:right w:val="single" w:sz="4" w:space="0" w:color="auto"/>
            </w:tcBorders>
            <w:shd w:val="clear" w:color="auto" w:fill="AEAAAA" w:themeFill="background2" w:themeFillShade="BF"/>
            <w:vAlign w:val="center"/>
            <w:hideMark/>
          </w:tcPr>
          <w:p w14:paraId="4A2C74DA"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Tested</w:t>
            </w:r>
          </w:p>
        </w:tc>
      </w:tr>
      <w:tr w:rsidR="00733D2E" w:rsidRPr="006251B4" w14:paraId="4BBEFE7B" w14:textId="77777777" w:rsidTr="0001610F">
        <w:trPr>
          <w:trHeight w:val="300"/>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58649E7B" w14:textId="77777777" w:rsidR="00733D2E" w:rsidRPr="00592EAF" w:rsidRDefault="00733D2E" w:rsidP="00733D2E">
            <w:pPr>
              <w:spacing w:after="0" w:line="240" w:lineRule="auto"/>
              <w:jc w:val="both"/>
              <w:rPr>
                <w:rFonts w:ascii="Calibri" w:eastAsia="Times New Roman" w:hAnsi="Calibri" w:cs="Times New Roman"/>
                <w:b/>
                <w:bCs/>
                <w:color w:val="000000"/>
                <w:sz w:val="20"/>
                <w:szCs w:val="20"/>
              </w:rPr>
            </w:pPr>
            <w:proofErr w:type="spellStart"/>
            <w:r w:rsidRPr="00592EAF">
              <w:rPr>
                <w:rFonts w:ascii="Calibri" w:eastAsia="Times New Roman" w:hAnsi="Calibri" w:cs="Times New Roman"/>
                <w:b/>
                <w:bCs/>
                <w:color w:val="000000"/>
                <w:sz w:val="20"/>
                <w:szCs w:val="20"/>
              </w:rPr>
              <w:t>WaterOneFlow</w:t>
            </w:r>
            <w:proofErr w:type="spellEnd"/>
            <w:r w:rsidRPr="00592EAF">
              <w:rPr>
                <w:rFonts w:ascii="Calibri" w:eastAsia="Times New Roman" w:hAnsi="Calibri" w:cs="Times New Roman"/>
                <w:b/>
                <w:bCs/>
                <w:color w:val="000000"/>
                <w:sz w:val="20"/>
                <w:szCs w:val="20"/>
              </w:rPr>
              <w:t>/</w:t>
            </w:r>
          </w:p>
          <w:p w14:paraId="2720C12E" w14:textId="77777777" w:rsidR="00733D2E" w:rsidRPr="00592EAF" w:rsidRDefault="00733D2E" w:rsidP="00733D2E">
            <w:pPr>
              <w:spacing w:after="0" w:line="240" w:lineRule="auto"/>
              <w:jc w:val="both"/>
              <w:rPr>
                <w:rFonts w:ascii="Calibri" w:eastAsia="Times New Roman" w:hAnsi="Calibri" w:cs="Times New Roman"/>
                <w:b/>
                <w:bCs/>
                <w:color w:val="000000"/>
                <w:sz w:val="20"/>
                <w:szCs w:val="20"/>
              </w:rPr>
            </w:pPr>
            <w:r w:rsidRPr="00592EAF">
              <w:rPr>
                <w:rFonts w:ascii="Calibri" w:eastAsia="Times New Roman" w:hAnsi="Calibri" w:cs="Times New Roman"/>
                <w:b/>
                <w:bCs/>
                <w:color w:val="000000"/>
                <w:sz w:val="20"/>
                <w:szCs w:val="20"/>
              </w:rPr>
              <w:t>WaterML</w:t>
            </w:r>
          </w:p>
        </w:tc>
        <w:tc>
          <w:tcPr>
            <w:tcW w:w="725" w:type="dxa"/>
            <w:tcBorders>
              <w:top w:val="nil"/>
              <w:left w:val="nil"/>
              <w:bottom w:val="single" w:sz="4" w:space="0" w:color="auto"/>
              <w:right w:val="single" w:sz="4" w:space="0" w:color="auto"/>
            </w:tcBorders>
            <w:shd w:val="clear" w:color="auto" w:fill="FFFFFF" w:themeFill="background1"/>
            <w:vAlign w:val="center"/>
            <w:hideMark/>
          </w:tcPr>
          <w:p w14:paraId="2E9FDC27" w14:textId="77777777" w:rsidR="00733D2E" w:rsidRPr="00592EAF" w:rsidRDefault="00733D2E" w:rsidP="00733D2E">
            <w:pPr>
              <w:spacing w:after="0" w:line="240" w:lineRule="auto"/>
              <w:jc w:val="right"/>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6.0</w:t>
            </w:r>
          </w:p>
        </w:tc>
        <w:tc>
          <w:tcPr>
            <w:tcW w:w="895" w:type="dxa"/>
            <w:tcBorders>
              <w:top w:val="nil"/>
              <w:left w:val="nil"/>
              <w:bottom w:val="single" w:sz="4" w:space="0" w:color="auto"/>
              <w:right w:val="single" w:sz="4" w:space="0" w:color="auto"/>
            </w:tcBorders>
            <w:shd w:val="clear" w:color="auto" w:fill="D0CECE"/>
            <w:vAlign w:val="center"/>
            <w:hideMark/>
          </w:tcPr>
          <w:p w14:paraId="45CD80DC"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 xml:space="preserve">M </w:t>
            </w:r>
          </w:p>
        </w:tc>
        <w:tc>
          <w:tcPr>
            <w:tcW w:w="1080" w:type="dxa"/>
            <w:tcBorders>
              <w:top w:val="nil"/>
              <w:left w:val="nil"/>
              <w:bottom w:val="single" w:sz="4" w:space="0" w:color="auto"/>
              <w:right w:val="single" w:sz="4" w:space="0" w:color="auto"/>
            </w:tcBorders>
            <w:shd w:val="clear" w:color="auto" w:fill="AEAAAA" w:themeFill="background2" w:themeFillShade="BF"/>
            <w:vAlign w:val="center"/>
            <w:hideMark/>
          </w:tcPr>
          <w:p w14:paraId="77D556B4"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Queryable</w:t>
            </w:r>
          </w:p>
        </w:tc>
        <w:tc>
          <w:tcPr>
            <w:tcW w:w="1355" w:type="dxa"/>
            <w:tcBorders>
              <w:top w:val="nil"/>
              <w:left w:val="nil"/>
              <w:bottom w:val="single" w:sz="4" w:space="0" w:color="auto"/>
              <w:right w:val="single" w:sz="4" w:space="0" w:color="auto"/>
            </w:tcBorders>
            <w:shd w:val="clear" w:color="auto" w:fill="AEAAAA" w:themeFill="background2" w:themeFillShade="BF"/>
            <w:vAlign w:val="center"/>
            <w:hideMark/>
          </w:tcPr>
          <w:p w14:paraId="4E6C2EFA"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Broad</w:t>
            </w:r>
          </w:p>
        </w:tc>
        <w:tc>
          <w:tcPr>
            <w:tcW w:w="1525" w:type="dxa"/>
            <w:tcBorders>
              <w:top w:val="nil"/>
              <w:left w:val="nil"/>
              <w:bottom w:val="single" w:sz="4" w:space="0" w:color="auto"/>
              <w:right w:val="single" w:sz="4" w:space="0" w:color="auto"/>
            </w:tcBorders>
            <w:shd w:val="clear" w:color="auto" w:fill="D0CECE"/>
            <w:vAlign w:val="center"/>
            <w:hideMark/>
          </w:tcPr>
          <w:p w14:paraId="275302C4"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M</w:t>
            </w:r>
          </w:p>
        </w:tc>
        <w:tc>
          <w:tcPr>
            <w:tcW w:w="1265" w:type="dxa"/>
            <w:tcBorders>
              <w:top w:val="nil"/>
              <w:left w:val="nil"/>
              <w:bottom w:val="single" w:sz="4" w:space="0" w:color="auto"/>
              <w:right w:val="single" w:sz="4" w:space="0" w:color="auto"/>
            </w:tcBorders>
            <w:shd w:val="clear" w:color="auto" w:fill="AEAAAA" w:themeFill="background2" w:themeFillShade="BF"/>
            <w:vAlign w:val="center"/>
            <w:hideMark/>
          </w:tcPr>
          <w:p w14:paraId="369DD9CB"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H</w:t>
            </w:r>
          </w:p>
        </w:tc>
        <w:tc>
          <w:tcPr>
            <w:tcW w:w="990" w:type="dxa"/>
            <w:tcBorders>
              <w:top w:val="nil"/>
              <w:left w:val="nil"/>
              <w:bottom w:val="single" w:sz="4" w:space="0" w:color="auto"/>
              <w:right w:val="single" w:sz="4" w:space="0" w:color="auto"/>
            </w:tcBorders>
            <w:shd w:val="clear" w:color="auto" w:fill="AEAAAA" w:themeFill="background2" w:themeFillShade="BF"/>
            <w:vAlign w:val="center"/>
            <w:hideMark/>
          </w:tcPr>
          <w:p w14:paraId="60B90A40"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 xml:space="preserve"> 1, 2, 3, 4</w:t>
            </w:r>
          </w:p>
        </w:tc>
        <w:tc>
          <w:tcPr>
            <w:tcW w:w="1260" w:type="dxa"/>
            <w:tcBorders>
              <w:top w:val="nil"/>
              <w:left w:val="nil"/>
              <w:bottom w:val="single" w:sz="4" w:space="0" w:color="auto"/>
              <w:right w:val="single" w:sz="4" w:space="0" w:color="auto"/>
            </w:tcBorders>
            <w:shd w:val="clear" w:color="auto" w:fill="AEAAAA" w:themeFill="background2" w:themeFillShade="BF"/>
            <w:vAlign w:val="center"/>
            <w:hideMark/>
          </w:tcPr>
          <w:p w14:paraId="35CB1A5C"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Tested</w:t>
            </w:r>
          </w:p>
        </w:tc>
      </w:tr>
      <w:tr w:rsidR="00733D2E" w:rsidRPr="006251B4" w14:paraId="120F9760" w14:textId="77777777" w:rsidTr="0001610F">
        <w:trPr>
          <w:trHeight w:val="300"/>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7935A453" w14:textId="77777777" w:rsidR="00733D2E" w:rsidRPr="00592EAF" w:rsidRDefault="00733D2E" w:rsidP="00733D2E">
            <w:pPr>
              <w:spacing w:after="0" w:line="240" w:lineRule="auto"/>
              <w:jc w:val="both"/>
              <w:rPr>
                <w:rFonts w:ascii="Calibri" w:eastAsia="Times New Roman" w:hAnsi="Calibri" w:cs="Times New Roman"/>
                <w:b/>
                <w:bCs/>
                <w:color w:val="000000"/>
                <w:sz w:val="20"/>
                <w:szCs w:val="20"/>
              </w:rPr>
            </w:pPr>
            <w:r w:rsidRPr="00592EAF">
              <w:rPr>
                <w:rFonts w:ascii="Calibri" w:eastAsia="Times New Roman" w:hAnsi="Calibri" w:cs="Times New Roman"/>
                <w:b/>
                <w:bCs/>
                <w:color w:val="000000"/>
                <w:sz w:val="20"/>
                <w:szCs w:val="20"/>
              </w:rPr>
              <w:t>WQX*</w:t>
            </w:r>
          </w:p>
        </w:tc>
        <w:tc>
          <w:tcPr>
            <w:tcW w:w="725" w:type="dxa"/>
            <w:tcBorders>
              <w:top w:val="nil"/>
              <w:left w:val="nil"/>
              <w:bottom w:val="single" w:sz="4" w:space="0" w:color="auto"/>
              <w:right w:val="single" w:sz="4" w:space="0" w:color="auto"/>
            </w:tcBorders>
            <w:shd w:val="clear" w:color="auto" w:fill="FFFFFF" w:themeFill="background1"/>
            <w:vAlign w:val="center"/>
            <w:hideMark/>
          </w:tcPr>
          <w:p w14:paraId="19EDF6B8" w14:textId="77777777" w:rsidR="00733D2E" w:rsidRPr="00592EAF" w:rsidRDefault="00733D2E" w:rsidP="00733D2E">
            <w:pPr>
              <w:spacing w:after="0" w:line="240" w:lineRule="auto"/>
              <w:jc w:val="right"/>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5.0</w:t>
            </w:r>
          </w:p>
        </w:tc>
        <w:tc>
          <w:tcPr>
            <w:tcW w:w="895" w:type="dxa"/>
            <w:tcBorders>
              <w:top w:val="nil"/>
              <w:left w:val="nil"/>
              <w:bottom w:val="single" w:sz="4" w:space="0" w:color="auto"/>
              <w:right w:val="single" w:sz="4" w:space="0" w:color="auto"/>
            </w:tcBorders>
            <w:shd w:val="clear" w:color="auto" w:fill="D0CECE"/>
            <w:vAlign w:val="center"/>
            <w:hideMark/>
          </w:tcPr>
          <w:p w14:paraId="591EC057"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M</w:t>
            </w:r>
          </w:p>
        </w:tc>
        <w:tc>
          <w:tcPr>
            <w:tcW w:w="1080" w:type="dxa"/>
            <w:tcBorders>
              <w:top w:val="nil"/>
              <w:left w:val="nil"/>
              <w:bottom w:val="single" w:sz="4" w:space="0" w:color="auto"/>
              <w:right w:val="single" w:sz="4" w:space="0" w:color="auto"/>
            </w:tcBorders>
            <w:shd w:val="clear" w:color="auto" w:fill="AEAAAA" w:themeFill="background2" w:themeFillShade="BF"/>
            <w:vAlign w:val="center"/>
            <w:hideMark/>
          </w:tcPr>
          <w:p w14:paraId="0BC5BF19"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Queryable</w:t>
            </w:r>
          </w:p>
        </w:tc>
        <w:tc>
          <w:tcPr>
            <w:tcW w:w="1355" w:type="dxa"/>
            <w:tcBorders>
              <w:top w:val="nil"/>
              <w:left w:val="nil"/>
              <w:bottom w:val="single" w:sz="4" w:space="0" w:color="auto"/>
              <w:right w:val="single" w:sz="4" w:space="0" w:color="auto"/>
            </w:tcBorders>
            <w:shd w:val="clear" w:color="auto" w:fill="AEAAAA" w:themeFill="background2" w:themeFillShade="BF"/>
            <w:vAlign w:val="center"/>
            <w:hideMark/>
          </w:tcPr>
          <w:p w14:paraId="3C40CE5D"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Broad</w:t>
            </w:r>
          </w:p>
        </w:tc>
        <w:tc>
          <w:tcPr>
            <w:tcW w:w="1525" w:type="dxa"/>
            <w:tcBorders>
              <w:top w:val="nil"/>
              <w:left w:val="nil"/>
              <w:bottom w:val="single" w:sz="4" w:space="0" w:color="auto"/>
              <w:right w:val="single" w:sz="4" w:space="0" w:color="auto"/>
            </w:tcBorders>
            <w:shd w:val="clear" w:color="auto" w:fill="AEAAAA" w:themeFill="background2" w:themeFillShade="BF"/>
            <w:vAlign w:val="center"/>
            <w:hideMark/>
          </w:tcPr>
          <w:p w14:paraId="1D39AD0A"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H</w:t>
            </w:r>
          </w:p>
        </w:tc>
        <w:tc>
          <w:tcPr>
            <w:tcW w:w="1265" w:type="dxa"/>
            <w:tcBorders>
              <w:top w:val="nil"/>
              <w:left w:val="nil"/>
              <w:bottom w:val="single" w:sz="4" w:space="0" w:color="auto"/>
              <w:right w:val="single" w:sz="4" w:space="0" w:color="auto"/>
            </w:tcBorders>
            <w:shd w:val="clear" w:color="auto" w:fill="D0CECE"/>
            <w:vAlign w:val="center"/>
            <w:hideMark/>
          </w:tcPr>
          <w:p w14:paraId="48B017A6"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M</w:t>
            </w:r>
          </w:p>
        </w:tc>
        <w:tc>
          <w:tcPr>
            <w:tcW w:w="990" w:type="dxa"/>
            <w:tcBorders>
              <w:top w:val="nil"/>
              <w:left w:val="nil"/>
              <w:bottom w:val="single" w:sz="4" w:space="0" w:color="auto"/>
              <w:right w:val="single" w:sz="4" w:space="0" w:color="auto"/>
            </w:tcBorders>
            <w:shd w:val="clear" w:color="auto" w:fill="D0CECE"/>
            <w:vAlign w:val="center"/>
            <w:hideMark/>
          </w:tcPr>
          <w:p w14:paraId="26880BEE"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 xml:space="preserve"> 2, 3, 4</w:t>
            </w:r>
          </w:p>
        </w:tc>
        <w:tc>
          <w:tcPr>
            <w:tcW w:w="1260" w:type="dxa"/>
            <w:tcBorders>
              <w:top w:val="nil"/>
              <w:left w:val="nil"/>
              <w:bottom w:val="single" w:sz="4" w:space="0" w:color="auto"/>
              <w:right w:val="single" w:sz="4" w:space="0" w:color="auto"/>
            </w:tcBorders>
            <w:shd w:val="clear" w:color="auto" w:fill="D0CECE"/>
            <w:vAlign w:val="center"/>
            <w:hideMark/>
          </w:tcPr>
          <w:p w14:paraId="4C3E6E05"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Designed</w:t>
            </w:r>
          </w:p>
        </w:tc>
      </w:tr>
      <w:tr w:rsidR="00733D2E" w:rsidRPr="006251B4" w14:paraId="5A570923" w14:textId="77777777" w:rsidTr="0001610F">
        <w:trPr>
          <w:trHeight w:val="300"/>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7B2F0461" w14:textId="77777777" w:rsidR="00733D2E" w:rsidRPr="00592EAF" w:rsidRDefault="00733D2E" w:rsidP="00733D2E">
            <w:pPr>
              <w:spacing w:after="0" w:line="240" w:lineRule="auto"/>
              <w:rPr>
                <w:rFonts w:ascii="Calibri" w:eastAsia="Times New Roman" w:hAnsi="Calibri" w:cs="Times New Roman"/>
                <w:b/>
                <w:bCs/>
                <w:color w:val="000000"/>
                <w:sz w:val="20"/>
                <w:szCs w:val="20"/>
              </w:rPr>
            </w:pPr>
            <w:r w:rsidRPr="00592EAF">
              <w:rPr>
                <w:rFonts w:ascii="Calibri" w:eastAsia="Times New Roman" w:hAnsi="Calibri" w:cs="Times New Roman"/>
                <w:b/>
                <w:bCs/>
                <w:color w:val="000000"/>
                <w:sz w:val="20"/>
                <w:szCs w:val="20"/>
              </w:rPr>
              <w:t>OGC: O&amp;M/</w:t>
            </w:r>
          </w:p>
          <w:p w14:paraId="55C7FA84" w14:textId="77777777" w:rsidR="00733D2E" w:rsidRPr="00592EAF" w:rsidRDefault="00733D2E" w:rsidP="00733D2E">
            <w:pPr>
              <w:spacing w:after="0" w:line="240" w:lineRule="auto"/>
              <w:rPr>
                <w:rFonts w:ascii="Calibri" w:eastAsia="Times New Roman" w:hAnsi="Calibri" w:cs="Times New Roman"/>
                <w:b/>
                <w:bCs/>
                <w:color w:val="000000"/>
                <w:sz w:val="20"/>
                <w:szCs w:val="20"/>
              </w:rPr>
            </w:pPr>
            <w:r w:rsidRPr="00592EAF">
              <w:rPr>
                <w:rFonts w:ascii="Calibri" w:eastAsia="Times New Roman" w:hAnsi="Calibri" w:cs="Times New Roman"/>
                <w:b/>
                <w:bCs/>
                <w:color w:val="000000"/>
                <w:sz w:val="20"/>
                <w:szCs w:val="20"/>
              </w:rPr>
              <w:t>SensorThings API</w:t>
            </w:r>
          </w:p>
        </w:tc>
        <w:tc>
          <w:tcPr>
            <w:tcW w:w="725" w:type="dxa"/>
            <w:tcBorders>
              <w:top w:val="nil"/>
              <w:left w:val="nil"/>
              <w:bottom w:val="single" w:sz="4" w:space="0" w:color="auto"/>
              <w:right w:val="single" w:sz="4" w:space="0" w:color="auto"/>
            </w:tcBorders>
            <w:shd w:val="clear" w:color="auto" w:fill="FFFFFF" w:themeFill="background1"/>
            <w:vAlign w:val="center"/>
            <w:hideMark/>
          </w:tcPr>
          <w:p w14:paraId="73E28EC3" w14:textId="77777777" w:rsidR="00733D2E" w:rsidRPr="00592EAF" w:rsidRDefault="00733D2E" w:rsidP="00733D2E">
            <w:pPr>
              <w:spacing w:after="0" w:line="240" w:lineRule="auto"/>
              <w:jc w:val="right"/>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5.0</w:t>
            </w:r>
          </w:p>
        </w:tc>
        <w:tc>
          <w:tcPr>
            <w:tcW w:w="895" w:type="dxa"/>
            <w:tcBorders>
              <w:top w:val="nil"/>
              <w:left w:val="nil"/>
              <w:bottom w:val="single" w:sz="4" w:space="0" w:color="auto"/>
              <w:right w:val="single" w:sz="4" w:space="0" w:color="auto"/>
            </w:tcBorders>
            <w:shd w:val="clear" w:color="auto" w:fill="D0CECE"/>
            <w:vAlign w:val="center"/>
            <w:hideMark/>
          </w:tcPr>
          <w:p w14:paraId="558BD5DC"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M</w:t>
            </w:r>
          </w:p>
        </w:tc>
        <w:tc>
          <w:tcPr>
            <w:tcW w:w="1080" w:type="dxa"/>
            <w:tcBorders>
              <w:top w:val="nil"/>
              <w:left w:val="nil"/>
              <w:bottom w:val="single" w:sz="4" w:space="0" w:color="auto"/>
              <w:right w:val="single" w:sz="4" w:space="0" w:color="auto"/>
            </w:tcBorders>
            <w:shd w:val="clear" w:color="auto" w:fill="AEAAAA" w:themeFill="background2" w:themeFillShade="BF"/>
            <w:vAlign w:val="center"/>
            <w:hideMark/>
          </w:tcPr>
          <w:p w14:paraId="70983F0C"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Queryable</w:t>
            </w:r>
          </w:p>
        </w:tc>
        <w:tc>
          <w:tcPr>
            <w:tcW w:w="1355" w:type="dxa"/>
            <w:tcBorders>
              <w:top w:val="nil"/>
              <w:left w:val="nil"/>
              <w:bottom w:val="single" w:sz="4" w:space="0" w:color="auto"/>
              <w:right w:val="single" w:sz="4" w:space="0" w:color="auto"/>
            </w:tcBorders>
            <w:shd w:val="clear" w:color="auto" w:fill="D0CECE"/>
            <w:vAlign w:val="center"/>
            <w:hideMark/>
          </w:tcPr>
          <w:p w14:paraId="1BB79F4E"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Community</w:t>
            </w:r>
          </w:p>
        </w:tc>
        <w:tc>
          <w:tcPr>
            <w:tcW w:w="1525" w:type="dxa"/>
            <w:tcBorders>
              <w:top w:val="nil"/>
              <w:left w:val="nil"/>
              <w:bottom w:val="single" w:sz="4" w:space="0" w:color="auto"/>
              <w:right w:val="single" w:sz="4" w:space="0" w:color="auto"/>
            </w:tcBorders>
            <w:shd w:val="clear" w:color="auto" w:fill="D0CECE"/>
            <w:vAlign w:val="center"/>
            <w:hideMark/>
          </w:tcPr>
          <w:p w14:paraId="6E673532"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M</w:t>
            </w:r>
          </w:p>
        </w:tc>
        <w:tc>
          <w:tcPr>
            <w:tcW w:w="1265" w:type="dxa"/>
            <w:tcBorders>
              <w:top w:val="nil"/>
              <w:left w:val="nil"/>
              <w:bottom w:val="single" w:sz="4" w:space="0" w:color="auto"/>
              <w:right w:val="single" w:sz="4" w:space="0" w:color="auto"/>
            </w:tcBorders>
            <w:shd w:val="clear" w:color="auto" w:fill="D0CECE"/>
            <w:vAlign w:val="center"/>
            <w:hideMark/>
          </w:tcPr>
          <w:p w14:paraId="0870B268"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M</w:t>
            </w:r>
          </w:p>
        </w:tc>
        <w:tc>
          <w:tcPr>
            <w:tcW w:w="990" w:type="dxa"/>
            <w:tcBorders>
              <w:top w:val="nil"/>
              <w:left w:val="nil"/>
              <w:bottom w:val="single" w:sz="4" w:space="0" w:color="auto"/>
              <w:right w:val="single" w:sz="4" w:space="0" w:color="auto"/>
            </w:tcBorders>
            <w:shd w:val="clear" w:color="auto" w:fill="AEAAAA" w:themeFill="background2" w:themeFillShade="BF"/>
            <w:vAlign w:val="center"/>
            <w:hideMark/>
          </w:tcPr>
          <w:p w14:paraId="66790157"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1, 2, 3, 4</w:t>
            </w:r>
          </w:p>
        </w:tc>
        <w:tc>
          <w:tcPr>
            <w:tcW w:w="1260" w:type="dxa"/>
            <w:tcBorders>
              <w:top w:val="nil"/>
              <w:left w:val="nil"/>
              <w:bottom w:val="single" w:sz="4" w:space="0" w:color="auto"/>
              <w:right w:val="single" w:sz="4" w:space="0" w:color="auto"/>
            </w:tcBorders>
            <w:shd w:val="clear" w:color="auto" w:fill="AEAAAA" w:themeFill="background2" w:themeFillShade="BF"/>
            <w:vAlign w:val="center"/>
            <w:hideMark/>
          </w:tcPr>
          <w:p w14:paraId="4B356456"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Tested</w:t>
            </w:r>
          </w:p>
        </w:tc>
      </w:tr>
      <w:tr w:rsidR="00733D2E" w:rsidRPr="006251B4" w14:paraId="7BC840AB" w14:textId="77777777" w:rsidTr="0001610F">
        <w:trPr>
          <w:trHeight w:val="300"/>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58067202" w14:textId="6F40B24C" w:rsidR="00733D2E" w:rsidRPr="00592EAF" w:rsidRDefault="00733D2E" w:rsidP="008F5C96">
            <w:pPr>
              <w:spacing w:after="0" w:line="240" w:lineRule="auto"/>
              <w:jc w:val="both"/>
              <w:rPr>
                <w:rFonts w:ascii="Calibri" w:eastAsia="Times New Roman" w:hAnsi="Calibri" w:cs="Times New Roman"/>
                <w:b/>
                <w:bCs/>
                <w:color w:val="000000"/>
                <w:sz w:val="20"/>
                <w:szCs w:val="20"/>
              </w:rPr>
            </w:pPr>
            <w:r w:rsidRPr="00592EAF">
              <w:rPr>
                <w:rFonts w:ascii="Calibri" w:eastAsia="Times New Roman" w:hAnsi="Calibri" w:cs="Times New Roman"/>
                <w:b/>
                <w:bCs/>
                <w:color w:val="000000"/>
                <w:sz w:val="20"/>
                <w:szCs w:val="20"/>
              </w:rPr>
              <w:t>AQ</w:t>
            </w:r>
            <w:r w:rsidR="008F5C96" w:rsidRPr="00592EAF">
              <w:rPr>
                <w:rFonts w:ascii="Calibri" w:eastAsia="Times New Roman" w:hAnsi="Calibri" w:cs="Times New Roman"/>
                <w:b/>
                <w:bCs/>
                <w:color w:val="000000"/>
                <w:sz w:val="20"/>
                <w:szCs w:val="20"/>
              </w:rPr>
              <w:t>CSV</w:t>
            </w:r>
          </w:p>
        </w:tc>
        <w:tc>
          <w:tcPr>
            <w:tcW w:w="725" w:type="dxa"/>
            <w:tcBorders>
              <w:top w:val="nil"/>
              <w:left w:val="nil"/>
              <w:bottom w:val="single" w:sz="4" w:space="0" w:color="auto"/>
              <w:right w:val="single" w:sz="4" w:space="0" w:color="auto"/>
            </w:tcBorders>
            <w:shd w:val="clear" w:color="auto" w:fill="FFFFFF" w:themeFill="background1"/>
            <w:vAlign w:val="center"/>
            <w:hideMark/>
          </w:tcPr>
          <w:p w14:paraId="0A509EF5" w14:textId="77777777" w:rsidR="00733D2E" w:rsidRPr="00592EAF" w:rsidRDefault="00733D2E" w:rsidP="00733D2E">
            <w:pPr>
              <w:spacing w:after="0" w:line="240" w:lineRule="auto"/>
              <w:jc w:val="right"/>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4.5</w:t>
            </w:r>
          </w:p>
        </w:tc>
        <w:tc>
          <w:tcPr>
            <w:tcW w:w="895" w:type="dxa"/>
            <w:tcBorders>
              <w:top w:val="nil"/>
              <w:left w:val="nil"/>
              <w:bottom w:val="single" w:sz="4" w:space="0" w:color="auto"/>
              <w:right w:val="single" w:sz="4" w:space="0" w:color="auto"/>
            </w:tcBorders>
            <w:shd w:val="clear" w:color="auto" w:fill="D0CECE"/>
            <w:vAlign w:val="center"/>
            <w:hideMark/>
          </w:tcPr>
          <w:p w14:paraId="51EEC384"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M</w:t>
            </w:r>
          </w:p>
        </w:tc>
        <w:tc>
          <w:tcPr>
            <w:tcW w:w="1080" w:type="dxa"/>
            <w:tcBorders>
              <w:top w:val="nil"/>
              <w:left w:val="nil"/>
              <w:bottom w:val="single" w:sz="4" w:space="0" w:color="auto"/>
              <w:right w:val="single" w:sz="4" w:space="0" w:color="auto"/>
            </w:tcBorders>
            <w:shd w:val="clear" w:color="auto" w:fill="D0CECE"/>
            <w:vAlign w:val="center"/>
            <w:hideMark/>
          </w:tcPr>
          <w:p w14:paraId="4FCF86BA"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Internal</w:t>
            </w:r>
          </w:p>
        </w:tc>
        <w:tc>
          <w:tcPr>
            <w:tcW w:w="1355" w:type="dxa"/>
            <w:tcBorders>
              <w:top w:val="nil"/>
              <w:left w:val="nil"/>
              <w:bottom w:val="single" w:sz="4" w:space="0" w:color="auto"/>
              <w:right w:val="single" w:sz="4" w:space="0" w:color="auto"/>
            </w:tcBorders>
            <w:shd w:val="clear" w:color="auto" w:fill="AEAAAA" w:themeFill="background2" w:themeFillShade="BF"/>
            <w:vAlign w:val="center"/>
            <w:hideMark/>
          </w:tcPr>
          <w:p w14:paraId="67707D5C"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Broad</w:t>
            </w:r>
          </w:p>
        </w:tc>
        <w:tc>
          <w:tcPr>
            <w:tcW w:w="1525" w:type="dxa"/>
            <w:tcBorders>
              <w:top w:val="nil"/>
              <w:left w:val="nil"/>
              <w:bottom w:val="single" w:sz="4" w:space="0" w:color="auto"/>
              <w:right w:val="single" w:sz="4" w:space="0" w:color="auto"/>
            </w:tcBorders>
            <w:shd w:val="clear" w:color="auto" w:fill="D0CECE"/>
            <w:vAlign w:val="center"/>
            <w:hideMark/>
          </w:tcPr>
          <w:p w14:paraId="618632EC"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M</w:t>
            </w:r>
          </w:p>
        </w:tc>
        <w:tc>
          <w:tcPr>
            <w:tcW w:w="1265" w:type="dxa"/>
            <w:tcBorders>
              <w:top w:val="nil"/>
              <w:left w:val="nil"/>
              <w:bottom w:val="single" w:sz="4" w:space="0" w:color="auto"/>
              <w:right w:val="single" w:sz="4" w:space="0" w:color="auto"/>
            </w:tcBorders>
            <w:shd w:val="clear" w:color="auto" w:fill="D0CECE"/>
            <w:vAlign w:val="center"/>
            <w:hideMark/>
          </w:tcPr>
          <w:p w14:paraId="745C7547"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M</w:t>
            </w:r>
          </w:p>
        </w:tc>
        <w:tc>
          <w:tcPr>
            <w:tcW w:w="990" w:type="dxa"/>
            <w:tcBorders>
              <w:top w:val="nil"/>
              <w:left w:val="nil"/>
              <w:bottom w:val="single" w:sz="4" w:space="0" w:color="auto"/>
              <w:right w:val="single" w:sz="4" w:space="0" w:color="auto"/>
            </w:tcBorders>
            <w:shd w:val="clear" w:color="auto" w:fill="D0CECE"/>
            <w:vAlign w:val="center"/>
            <w:hideMark/>
          </w:tcPr>
          <w:p w14:paraId="1A0C1410"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 xml:space="preserve"> 1, 2, 3, 4</w:t>
            </w:r>
          </w:p>
        </w:tc>
        <w:tc>
          <w:tcPr>
            <w:tcW w:w="1260" w:type="dxa"/>
            <w:tcBorders>
              <w:top w:val="nil"/>
              <w:left w:val="nil"/>
              <w:bottom w:val="single" w:sz="4" w:space="0" w:color="auto"/>
              <w:right w:val="single" w:sz="4" w:space="0" w:color="auto"/>
            </w:tcBorders>
            <w:shd w:val="clear" w:color="auto" w:fill="D0CECE"/>
            <w:vAlign w:val="center"/>
            <w:hideMark/>
          </w:tcPr>
          <w:p w14:paraId="5C6A799C"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Designed</w:t>
            </w:r>
          </w:p>
        </w:tc>
      </w:tr>
      <w:tr w:rsidR="00733D2E" w:rsidRPr="006251B4" w14:paraId="211804F4" w14:textId="77777777" w:rsidTr="0001610F">
        <w:trPr>
          <w:trHeight w:val="3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4C65C8A5" w14:textId="77777777" w:rsidR="00733D2E" w:rsidRPr="00592EAF" w:rsidRDefault="00733D2E" w:rsidP="00733D2E">
            <w:pPr>
              <w:spacing w:after="0" w:line="240" w:lineRule="auto"/>
              <w:jc w:val="both"/>
              <w:rPr>
                <w:rFonts w:ascii="Calibri" w:eastAsia="Times New Roman" w:hAnsi="Calibri" w:cs="Times New Roman"/>
                <w:b/>
                <w:bCs/>
                <w:color w:val="000000"/>
                <w:sz w:val="20"/>
                <w:szCs w:val="20"/>
              </w:rPr>
            </w:pPr>
            <w:r w:rsidRPr="00592EAF">
              <w:rPr>
                <w:rFonts w:ascii="Calibri" w:eastAsia="Times New Roman" w:hAnsi="Calibri" w:cs="Times New Roman"/>
                <w:b/>
                <w:bCs/>
                <w:color w:val="000000"/>
                <w:sz w:val="20"/>
                <w:szCs w:val="20"/>
              </w:rPr>
              <w:t>AQS*</w:t>
            </w:r>
          </w:p>
        </w:tc>
        <w:tc>
          <w:tcPr>
            <w:tcW w:w="725" w:type="dxa"/>
            <w:tcBorders>
              <w:top w:val="nil"/>
              <w:left w:val="nil"/>
              <w:bottom w:val="single" w:sz="4" w:space="0" w:color="auto"/>
              <w:right w:val="single" w:sz="4" w:space="0" w:color="auto"/>
            </w:tcBorders>
            <w:shd w:val="clear" w:color="auto" w:fill="FFFFFF" w:themeFill="background1"/>
            <w:vAlign w:val="center"/>
            <w:hideMark/>
          </w:tcPr>
          <w:p w14:paraId="77CF4AC3" w14:textId="59AC98AA" w:rsidR="00733D2E" w:rsidRPr="00592EAF" w:rsidRDefault="0001610F" w:rsidP="00733D2E">
            <w:pPr>
              <w:spacing w:after="0" w:line="240" w:lineRule="auto"/>
              <w:jc w:val="right"/>
              <w:rPr>
                <w:rFonts w:ascii="Calibri" w:eastAsia="Times New Roman" w:hAnsi="Calibri" w:cs="Times New Roman"/>
                <w:color w:val="000000"/>
                <w:sz w:val="20"/>
                <w:szCs w:val="20"/>
              </w:rPr>
            </w:pPr>
            <w:r w:rsidRPr="001A737C">
              <w:rPr>
                <w:rFonts w:ascii="Calibri" w:eastAsia="Times New Roman" w:hAnsi="Calibri" w:cs="Times New Roman"/>
                <w:color w:val="000000"/>
                <w:sz w:val="20"/>
                <w:szCs w:val="20"/>
              </w:rPr>
              <w:t>3.5</w:t>
            </w:r>
          </w:p>
        </w:tc>
        <w:tc>
          <w:tcPr>
            <w:tcW w:w="895" w:type="dxa"/>
            <w:tcBorders>
              <w:top w:val="nil"/>
              <w:left w:val="nil"/>
              <w:bottom w:val="single" w:sz="4" w:space="0" w:color="auto"/>
              <w:right w:val="single" w:sz="4" w:space="0" w:color="auto"/>
            </w:tcBorders>
            <w:shd w:val="clear" w:color="auto" w:fill="D0CECE"/>
            <w:vAlign w:val="center"/>
            <w:hideMark/>
          </w:tcPr>
          <w:p w14:paraId="66741F76"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M</w:t>
            </w:r>
          </w:p>
        </w:tc>
        <w:tc>
          <w:tcPr>
            <w:tcW w:w="1080" w:type="dxa"/>
            <w:tcBorders>
              <w:top w:val="nil"/>
              <w:left w:val="nil"/>
              <w:bottom w:val="single" w:sz="4" w:space="0" w:color="auto"/>
              <w:right w:val="single" w:sz="4" w:space="0" w:color="auto"/>
            </w:tcBorders>
            <w:shd w:val="clear" w:color="auto" w:fill="D0CECE"/>
            <w:vAlign w:val="center"/>
            <w:hideMark/>
          </w:tcPr>
          <w:p w14:paraId="0FE7DF31"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Internal</w:t>
            </w:r>
          </w:p>
        </w:tc>
        <w:tc>
          <w:tcPr>
            <w:tcW w:w="1355" w:type="dxa"/>
            <w:tcBorders>
              <w:top w:val="nil"/>
              <w:left w:val="nil"/>
              <w:bottom w:val="single" w:sz="4" w:space="0" w:color="auto"/>
              <w:right w:val="single" w:sz="4" w:space="0" w:color="auto"/>
            </w:tcBorders>
            <w:shd w:val="clear" w:color="auto" w:fill="D0CECE"/>
            <w:vAlign w:val="center"/>
            <w:hideMark/>
          </w:tcPr>
          <w:p w14:paraId="4D6A0ECD"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Community</w:t>
            </w:r>
          </w:p>
        </w:tc>
        <w:tc>
          <w:tcPr>
            <w:tcW w:w="1525" w:type="dxa"/>
            <w:tcBorders>
              <w:top w:val="nil"/>
              <w:left w:val="nil"/>
              <w:bottom w:val="single" w:sz="4" w:space="0" w:color="auto"/>
              <w:right w:val="single" w:sz="4" w:space="0" w:color="auto"/>
            </w:tcBorders>
            <w:shd w:val="clear" w:color="auto" w:fill="AEAAAA" w:themeFill="background2" w:themeFillShade="BF"/>
            <w:vAlign w:val="center"/>
            <w:hideMark/>
          </w:tcPr>
          <w:p w14:paraId="78C6AA8E"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H</w:t>
            </w:r>
          </w:p>
        </w:tc>
        <w:tc>
          <w:tcPr>
            <w:tcW w:w="1265" w:type="dxa"/>
            <w:tcBorders>
              <w:top w:val="nil"/>
              <w:left w:val="nil"/>
              <w:bottom w:val="single" w:sz="4" w:space="0" w:color="auto"/>
              <w:right w:val="single" w:sz="4" w:space="0" w:color="auto"/>
            </w:tcBorders>
            <w:shd w:val="clear" w:color="auto" w:fill="D0CECE"/>
            <w:vAlign w:val="center"/>
            <w:hideMark/>
          </w:tcPr>
          <w:p w14:paraId="788A12DA"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M</w:t>
            </w:r>
          </w:p>
        </w:tc>
        <w:tc>
          <w:tcPr>
            <w:tcW w:w="990" w:type="dxa"/>
            <w:tcBorders>
              <w:top w:val="nil"/>
              <w:left w:val="nil"/>
              <w:bottom w:val="single" w:sz="4" w:space="0" w:color="auto"/>
              <w:right w:val="single" w:sz="4" w:space="0" w:color="auto"/>
            </w:tcBorders>
            <w:shd w:val="clear" w:color="auto" w:fill="D0CECE"/>
            <w:vAlign w:val="center"/>
            <w:hideMark/>
          </w:tcPr>
          <w:p w14:paraId="64022C68"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 xml:space="preserve"> 2, 3, 4</w:t>
            </w:r>
          </w:p>
        </w:tc>
        <w:tc>
          <w:tcPr>
            <w:tcW w:w="1260" w:type="dxa"/>
            <w:tcBorders>
              <w:top w:val="nil"/>
              <w:left w:val="nil"/>
              <w:bottom w:val="single" w:sz="4" w:space="0" w:color="auto"/>
              <w:right w:val="single" w:sz="4" w:space="0" w:color="auto"/>
            </w:tcBorders>
            <w:shd w:val="clear" w:color="auto" w:fill="auto"/>
            <w:vAlign w:val="center"/>
            <w:hideMark/>
          </w:tcPr>
          <w:p w14:paraId="426E6B52"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Single-Media</w:t>
            </w:r>
          </w:p>
        </w:tc>
      </w:tr>
      <w:tr w:rsidR="00733D2E" w:rsidRPr="006251B4" w14:paraId="64E8F5BF" w14:textId="77777777" w:rsidTr="0001610F">
        <w:trPr>
          <w:trHeight w:val="300"/>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3182C827" w14:textId="77777777" w:rsidR="00733D2E" w:rsidRPr="00592EAF" w:rsidRDefault="00733D2E" w:rsidP="00733D2E">
            <w:pPr>
              <w:spacing w:after="0" w:line="240" w:lineRule="auto"/>
              <w:jc w:val="both"/>
              <w:rPr>
                <w:rFonts w:ascii="Calibri" w:eastAsia="Times New Roman" w:hAnsi="Calibri" w:cs="Times New Roman"/>
                <w:b/>
                <w:bCs/>
                <w:color w:val="000000"/>
                <w:sz w:val="20"/>
                <w:szCs w:val="20"/>
              </w:rPr>
            </w:pPr>
            <w:r w:rsidRPr="00592EAF">
              <w:rPr>
                <w:rFonts w:ascii="Calibri" w:eastAsia="Times New Roman" w:hAnsi="Calibri" w:cs="Times New Roman"/>
                <w:b/>
                <w:bCs/>
                <w:color w:val="000000"/>
                <w:sz w:val="20"/>
                <w:szCs w:val="20"/>
              </w:rPr>
              <w:t>VIPER</w:t>
            </w:r>
          </w:p>
        </w:tc>
        <w:tc>
          <w:tcPr>
            <w:tcW w:w="725" w:type="dxa"/>
            <w:tcBorders>
              <w:top w:val="nil"/>
              <w:left w:val="nil"/>
              <w:bottom w:val="single" w:sz="4" w:space="0" w:color="auto"/>
              <w:right w:val="single" w:sz="4" w:space="0" w:color="auto"/>
            </w:tcBorders>
            <w:shd w:val="clear" w:color="auto" w:fill="FFFFFF" w:themeFill="background1"/>
            <w:vAlign w:val="center"/>
            <w:hideMark/>
          </w:tcPr>
          <w:p w14:paraId="01454CE6" w14:textId="77777777" w:rsidR="00733D2E" w:rsidRPr="00592EAF" w:rsidRDefault="00733D2E" w:rsidP="00733D2E">
            <w:pPr>
              <w:spacing w:after="0" w:line="240" w:lineRule="auto"/>
              <w:jc w:val="right"/>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2.0</w:t>
            </w:r>
          </w:p>
        </w:tc>
        <w:tc>
          <w:tcPr>
            <w:tcW w:w="895" w:type="dxa"/>
            <w:tcBorders>
              <w:top w:val="nil"/>
              <w:left w:val="nil"/>
              <w:bottom w:val="single" w:sz="4" w:space="0" w:color="auto"/>
              <w:right w:val="single" w:sz="4" w:space="0" w:color="auto"/>
            </w:tcBorders>
            <w:shd w:val="clear" w:color="auto" w:fill="auto"/>
            <w:vAlign w:val="center"/>
            <w:hideMark/>
          </w:tcPr>
          <w:p w14:paraId="5AA3C707"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 xml:space="preserve">L </w:t>
            </w:r>
          </w:p>
        </w:tc>
        <w:tc>
          <w:tcPr>
            <w:tcW w:w="1080" w:type="dxa"/>
            <w:tcBorders>
              <w:top w:val="nil"/>
              <w:left w:val="nil"/>
              <w:bottom w:val="single" w:sz="4" w:space="0" w:color="auto"/>
              <w:right w:val="single" w:sz="4" w:space="0" w:color="auto"/>
            </w:tcBorders>
            <w:shd w:val="clear" w:color="auto" w:fill="D0CECE"/>
            <w:vAlign w:val="center"/>
            <w:hideMark/>
          </w:tcPr>
          <w:p w14:paraId="58174F94"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Internal</w:t>
            </w:r>
          </w:p>
        </w:tc>
        <w:tc>
          <w:tcPr>
            <w:tcW w:w="1355" w:type="dxa"/>
            <w:tcBorders>
              <w:top w:val="nil"/>
              <w:left w:val="nil"/>
              <w:bottom w:val="single" w:sz="4" w:space="0" w:color="auto"/>
              <w:right w:val="single" w:sz="4" w:space="0" w:color="auto"/>
            </w:tcBorders>
            <w:shd w:val="clear" w:color="auto" w:fill="auto"/>
            <w:vAlign w:val="center"/>
            <w:hideMark/>
          </w:tcPr>
          <w:p w14:paraId="1154C59F"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Limited</w:t>
            </w:r>
          </w:p>
        </w:tc>
        <w:tc>
          <w:tcPr>
            <w:tcW w:w="1525" w:type="dxa"/>
            <w:tcBorders>
              <w:top w:val="nil"/>
              <w:left w:val="nil"/>
              <w:bottom w:val="single" w:sz="4" w:space="0" w:color="auto"/>
              <w:right w:val="single" w:sz="4" w:space="0" w:color="auto"/>
            </w:tcBorders>
            <w:shd w:val="clear" w:color="auto" w:fill="auto"/>
            <w:vAlign w:val="center"/>
            <w:hideMark/>
          </w:tcPr>
          <w:p w14:paraId="7C2E2AF7"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Unknown</w:t>
            </w:r>
          </w:p>
        </w:tc>
        <w:tc>
          <w:tcPr>
            <w:tcW w:w="1265" w:type="dxa"/>
            <w:tcBorders>
              <w:top w:val="nil"/>
              <w:left w:val="nil"/>
              <w:bottom w:val="single" w:sz="4" w:space="0" w:color="auto"/>
              <w:right w:val="single" w:sz="4" w:space="0" w:color="auto"/>
            </w:tcBorders>
            <w:shd w:val="clear" w:color="auto" w:fill="auto"/>
            <w:vAlign w:val="center"/>
            <w:hideMark/>
          </w:tcPr>
          <w:p w14:paraId="12334D81"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L</w:t>
            </w:r>
          </w:p>
        </w:tc>
        <w:tc>
          <w:tcPr>
            <w:tcW w:w="990" w:type="dxa"/>
            <w:tcBorders>
              <w:top w:val="nil"/>
              <w:left w:val="nil"/>
              <w:bottom w:val="single" w:sz="4" w:space="0" w:color="auto"/>
              <w:right w:val="single" w:sz="4" w:space="0" w:color="auto"/>
            </w:tcBorders>
            <w:shd w:val="clear" w:color="auto" w:fill="D0CECE"/>
            <w:vAlign w:val="center"/>
            <w:hideMark/>
          </w:tcPr>
          <w:p w14:paraId="5531066F"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 xml:space="preserve"> 1, 2, 4</w:t>
            </w:r>
          </w:p>
        </w:tc>
        <w:tc>
          <w:tcPr>
            <w:tcW w:w="1260" w:type="dxa"/>
            <w:tcBorders>
              <w:top w:val="nil"/>
              <w:left w:val="nil"/>
              <w:bottom w:val="single" w:sz="4" w:space="0" w:color="auto"/>
              <w:right w:val="single" w:sz="4" w:space="0" w:color="auto"/>
            </w:tcBorders>
            <w:shd w:val="clear" w:color="auto" w:fill="AEAAAA" w:themeFill="background2" w:themeFillShade="BF"/>
            <w:vAlign w:val="center"/>
            <w:hideMark/>
          </w:tcPr>
          <w:p w14:paraId="54D0AF7B" w14:textId="77777777" w:rsidR="00733D2E" w:rsidRPr="00592EAF" w:rsidRDefault="00733D2E" w:rsidP="00733D2E">
            <w:pPr>
              <w:spacing w:after="0" w:line="240" w:lineRule="auto"/>
              <w:jc w:val="center"/>
              <w:rPr>
                <w:rFonts w:ascii="Calibri" w:eastAsia="Times New Roman" w:hAnsi="Calibri" w:cs="Times New Roman"/>
                <w:color w:val="000000"/>
                <w:sz w:val="20"/>
                <w:szCs w:val="20"/>
              </w:rPr>
            </w:pPr>
            <w:r w:rsidRPr="00592EAF">
              <w:rPr>
                <w:rFonts w:ascii="Calibri" w:eastAsia="Times New Roman" w:hAnsi="Calibri" w:cs="Times New Roman"/>
                <w:color w:val="000000"/>
                <w:sz w:val="20"/>
                <w:szCs w:val="20"/>
              </w:rPr>
              <w:t>Tested</w:t>
            </w:r>
          </w:p>
        </w:tc>
      </w:tr>
    </w:tbl>
    <w:p w14:paraId="6E301237" w14:textId="1545B90F" w:rsidR="00CE5DAC" w:rsidRDefault="00CE5DAC" w:rsidP="00592EAF">
      <w:pPr>
        <w:ind w:hanging="450"/>
        <w:contextualSpacing/>
        <w:rPr>
          <w:rFonts w:ascii="Calibri" w:eastAsia="Calibri" w:hAnsi="Calibri" w:cs="Calibri"/>
          <w:b/>
          <w:bCs/>
        </w:rPr>
      </w:pPr>
      <w:r>
        <w:rPr>
          <w:b/>
          <w:bCs/>
        </w:rPr>
        <w:t xml:space="preserve">Table 1. </w:t>
      </w:r>
      <w:r w:rsidRPr="00E410D0">
        <w:rPr>
          <w:rFonts w:ascii="Calibri" w:eastAsia="Calibri" w:hAnsi="Calibri" w:cs="Calibri"/>
          <w:b/>
          <w:bCs/>
        </w:rPr>
        <w:t>Comparison of Standards</w:t>
      </w:r>
      <w:r w:rsidRPr="0043445D">
        <w:rPr>
          <w:rFonts w:ascii="Calibri" w:eastAsia="Calibri" w:hAnsi="Calibri" w:cs="Calibri"/>
          <w:b/>
          <w:bCs/>
        </w:rPr>
        <w:t xml:space="preserve"> to Criteria</w:t>
      </w:r>
    </w:p>
    <w:p w14:paraId="0551D411" w14:textId="77777777" w:rsidR="0001610F" w:rsidRDefault="0001610F" w:rsidP="00592EAF">
      <w:pPr>
        <w:ind w:left="-450"/>
        <w:rPr>
          <w:rFonts w:ascii="Calibri" w:eastAsia="Calibri" w:hAnsi="Calibri" w:cs="Calibri"/>
        </w:rPr>
      </w:pPr>
    </w:p>
    <w:p w14:paraId="41BC5375" w14:textId="3E79A33C" w:rsidR="00CE5DAC" w:rsidRPr="00592EAF" w:rsidRDefault="00CE5DAC" w:rsidP="00592EAF">
      <w:pPr>
        <w:ind w:left="-450"/>
        <w:rPr>
          <w:rFonts w:ascii="Calibri" w:eastAsia="Calibri" w:hAnsi="Calibri" w:cs="Calibri"/>
        </w:rPr>
      </w:pPr>
      <w:r w:rsidRPr="00592EAF">
        <w:rPr>
          <w:rFonts w:ascii="Calibri" w:eastAsia="Calibri" w:hAnsi="Calibri" w:cs="Calibri"/>
        </w:rPr>
        <w:t>*</w:t>
      </w:r>
      <w:r w:rsidR="00B452CC">
        <w:rPr>
          <w:rFonts w:ascii="Calibri" w:eastAsia="Calibri" w:hAnsi="Calibri" w:cs="Calibri"/>
        </w:rPr>
        <w:t xml:space="preserve">WQX and </w:t>
      </w:r>
      <w:r w:rsidRPr="00592EAF">
        <w:rPr>
          <w:rFonts w:ascii="Calibri" w:eastAsia="Calibri" w:hAnsi="Calibri" w:cs="Calibri"/>
        </w:rPr>
        <w:t>AQS are both capable of exchangi</w:t>
      </w:r>
      <w:r w:rsidR="0001610F">
        <w:rPr>
          <w:rFonts w:ascii="Calibri" w:eastAsia="Calibri" w:hAnsi="Calibri" w:cs="Calibri"/>
        </w:rPr>
        <w:t>ng real-time (continuous) data. H</w:t>
      </w:r>
      <w:r w:rsidRPr="00592EAF">
        <w:rPr>
          <w:rFonts w:ascii="Calibri" w:eastAsia="Calibri" w:hAnsi="Calibri" w:cs="Calibri"/>
        </w:rPr>
        <w:t>owever, they are principally designed for sharing sample data which has different metadata requirements and a different structure.</w:t>
      </w:r>
      <w:r w:rsidR="00C674F9" w:rsidRPr="00592EAF">
        <w:rPr>
          <w:rFonts w:ascii="Calibri" w:eastAsia="Calibri" w:hAnsi="Calibri" w:cs="Calibri"/>
        </w:rPr>
        <w:t xml:space="preserve"> </w:t>
      </w:r>
      <w:r w:rsidRPr="00592EAF">
        <w:rPr>
          <w:rFonts w:ascii="Calibri" w:eastAsia="Calibri" w:hAnsi="Calibri" w:cs="Calibri"/>
        </w:rPr>
        <w:t xml:space="preserve">Although </w:t>
      </w:r>
      <w:proofErr w:type="gramStart"/>
      <w:r w:rsidRPr="00592EAF">
        <w:rPr>
          <w:rFonts w:ascii="Calibri" w:eastAsia="Calibri" w:hAnsi="Calibri" w:cs="Calibri"/>
        </w:rPr>
        <w:t>both of these</w:t>
      </w:r>
      <w:proofErr w:type="gramEnd"/>
      <w:r w:rsidRPr="00592EAF">
        <w:rPr>
          <w:rFonts w:ascii="Calibri" w:eastAsia="Calibri" w:hAnsi="Calibri" w:cs="Calibri"/>
        </w:rPr>
        <w:t xml:space="preserve"> standards could support the sharing of </w:t>
      </w:r>
      <w:r w:rsidR="00951034" w:rsidRPr="00592EAF">
        <w:rPr>
          <w:rFonts w:ascii="Calibri" w:eastAsia="Calibri" w:hAnsi="Calibri" w:cs="Calibri"/>
        </w:rPr>
        <w:t>continuous</w:t>
      </w:r>
      <w:r w:rsidRPr="00592EAF">
        <w:rPr>
          <w:rFonts w:ascii="Calibri" w:eastAsia="Calibri" w:hAnsi="Calibri" w:cs="Calibri"/>
        </w:rPr>
        <w:t xml:space="preserve"> data, they would not be able to handle the data in an efficient manner.</w:t>
      </w:r>
    </w:p>
    <w:p w14:paraId="745A0430" w14:textId="1315446A" w:rsidR="00840E94" w:rsidRDefault="00840E94" w:rsidP="00840E94">
      <w:pPr>
        <w:pStyle w:val="Heading2"/>
      </w:pPr>
      <w:r>
        <w:t>Next steps</w:t>
      </w:r>
    </w:p>
    <w:p w14:paraId="15310EC5" w14:textId="08F502B0" w:rsidR="00E00BF9" w:rsidRPr="00B452CC" w:rsidRDefault="00677BC4" w:rsidP="006010BD">
      <w:pPr>
        <w:rPr>
          <w:bCs/>
        </w:rPr>
        <w:sectPr w:rsidR="00E00BF9" w:rsidRPr="00B452CC" w:rsidSect="00592EAF">
          <w:footerReference w:type="default" r:id="rId13"/>
          <w:pgSz w:w="12240" w:h="15840"/>
          <w:pgMar w:top="1080" w:right="1170" w:bottom="1440" w:left="1170" w:header="720" w:footer="188" w:gutter="0"/>
          <w:pgNumType w:start="0"/>
          <w:cols w:space="720"/>
          <w:titlePg/>
          <w:docGrid w:linePitch="360"/>
        </w:sectPr>
      </w:pPr>
      <w:r>
        <w:rPr>
          <w:bCs/>
        </w:rPr>
        <w:t>A holistic approach for data interoperability should consider data standards as well as the architecture for an interoperable system and a metadata model for describing data quality.</w:t>
      </w:r>
      <w:r w:rsidRPr="00677BC4">
        <w:rPr>
          <w:bCs/>
        </w:rPr>
        <w:t xml:space="preserve"> </w:t>
      </w:r>
      <w:r w:rsidR="0035330E">
        <w:rPr>
          <w:bCs/>
        </w:rPr>
        <w:t>EPA will seek opportunities to implement data standards</w:t>
      </w:r>
      <w:r w:rsidR="00F4587E">
        <w:rPr>
          <w:bCs/>
        </w:rPr>
        <w:t xml:space="preserve"> and </w:t>
      </w:r>
      <w:r w:rsidR="0035330E">
        <w:rPr>
          <w:bCs/>
        </w:rPr>
        <w:t>share lessons</w:t>
      </w:r>
      <w:r w:rsidR="00F4587E">
        <w:rPr>
          <w:bCs/>
        </w:rPr>
        <w:t xml:space="preserve"> learned from </w:t>
      </w:r>
      <w:r w:rsidR="0035330E">
        <w:rPr>
          <w:bCs/>
        </w:rPr>
        <w:t xml:space="preserve">these efforts. </w:t>
      </w:r>
      <w:r w:rsidR="006010BD">
        <w:rPr>
          <w:bCs/>
        </w:rPr>
        <w:t>EPA plans to define the</w:t>
      </w:r>
      <w:r w:rsidR="00840E94">
        <w:rPr>
          <w:bCs/>
        </w:rPr>
        <w:t xml:space="preserve"> architecture for an interoperable </w:t>
      </w:r>
      <w:r w:rsidR="006010BD">
        <w:rPr>
          <w:bCs/>
        </w:rPr>
        <w:t xml:space="preserve">sensor network </w:t>
      </w:r>
      <w:r>
        <w:rPr>
          <w:bCs/>
        </w:rPr>
        <w:t xml:space="preserve">in 2018. As resources permit, EPA will review </w:t>
      </w:r>
      <w:r w:rsidR="00840E94">
        <w:rPr>
          <w:bCs/>
        </w:rPr>
        <w:t>a metadata model for describing data quality</w:t>
      </w:r>
      <w:r>
        <w:rPr>
          <w:bCs/>
        </w:rPr>
        <w:t>.</w:t>
      </w:r>
    </w:p>
    <w:p w14:paraId="0D13486E" w14:textId="0E39DC34" w:rsidR="00CE5DAC" w:rsidRDefault="00E00BF9" w:rsidP="00CE5DAC">
      <w:pPr>
        <w:pStyle w:val="Heading1"/>
      </w:pPr>
      <w:r>
        <w:lastRenderedPageBreak/>
        <w:t xml:space="preserve">Appendix </w:t>
      </w:r>
      <w:r w:rsidR="00B727C4">
        <w:t>A</w:t>
      </w:r>
      <w:r>
        <w:t xml:space="preserve">: </w:t>
      </w:r>
      <w:r w:rsidR="00CE5DAC">
        <w:t xml:space="preserve">Methodology </w:t>
      </w:r>
    </w:p>
    <w:p w14:paraId="5CC1669E" w14:textId="77777777" w:rsidR="00795A6E" w:rsidRPr="00795A6E" w:rsidRDefault="00795A6E" w:rsidP="00795A6E"/>
    <w:p w14:paraId="5EBC9ED4" w14:textId="147EC6C4" w:rsidR="00CE5DAC" w:rsidRDefault="00CE5DAC" w:rsidP="00CE5DAC">
      <w:r w:rsidRPr="000105B8">
        <w:t>The team develop</w:t>
      </w:r>
      <w:r w:rsidR="002157D5">
        <w:t>ed four use cases that describe</w:t>
      </w:r>
      <w:r w:rsidRPr="000105B8">
        <w:t xml:space="preserve"> the primary activities that </w:t>
      </w:r>
      <w:r w:rsidR="00AD3A51">
        <w:t>s</w:t>
      </w:r>
      <w:r w:rsidRPr="000105B8">
        <w:t>tates</w:t>
      </w:r>
      <w:r w:rsidR="004A4FFB">
        <w:t>, T</w:t>
      </w:r>
      <w:r w:rsidR="00AD3A51">
        <w:t>ribes,</w:t>
      </w:r>
      <w:r w:rsidRPr="000105B8">
        <w:t xml:space="preserve"> and EPA coul</w:t>
      </w:r>
      <w:r w:rsidR="00F304DD">
        <w:t>d use the standards for</w:t>
      </w:r>
      <w:r w:rsidR="00567B00">
        <w:t xml:space="preserve"> (see </w:t>
      </w:r>
      <w:r w:rsidR="00B452CC">
        <w:t xml:space="preserve">the </w:t>
      </w:r>
      <w:r w:rsidR="00B452CC" w:rsidRPr="00B452CC">
        <w:t>Criteria Used for Evaluation</w:t>
      </w:r>
      <w:r w:rsidR="00B452CC">
        <w:t xml:space="preserve"> section</w:t>
      </w:r>
      <w:r w:rsidR="00567B00">
        <w:t>)</w:t>
      </w:r>
      <w:r w:rsidR="00F304DD">
        <w:t xml:space="preserve">. </w:t>
      </w:r>
      <w:r w:rsidR="00FA07E9">
        <w:t>T</w:t>
      </w:r>
      <w:r w:rsidRPr="000105B8">
        <w:t xml:space="preserve">he team </w:t>
      </w:r>
      <w:r w:rsidR="00F304DD">
        <w:t xml:space="preserve">then </w:t>
      </w:r>
      <w:r w:rsidRPr="000105B8">
        <w:t xml:space="preserve">contacted environmental </w:t>
      </w:r>
      <w:r w:rsidR="006F7436">
        <w:t>agencies and other organizations</w:t>
      </w:r>
      <w:r w:rsidRPr="000105B8">
        <w:t xml:space="preserve"> to learn what standards they used. The team held conference calls with standards bodies to learn about the standards and their adoption.</w:t>
      </w:r>
      <w:r w:rsidR="00C674F9">
        <w:t xml:space="preserve"> </w:t>
      </w:r>
    </w:p>
    <w:p w14:paraId="5E4BBB82" w14:textId="4CBEB5AE" w:rsidR="006F7436" w:rsidRDefault="008F5C96" w:rsidP="00CE5DAC">
      <w:r>
        <w:rPr>
          <w:b/>
        </w:rPr>
        <w:t>Score:</w:t>
      </w:r>
      <w:r w:rsidR="00A21B87">
        <w:rPr>
          <w:b/>
        </w:rPr>
        <w:t xml:space="preserve"> </w:t>
      </w:r>
      <w:r w:rsidR="006F7436">
        <w:t>The team evaluated each standard based on a set of seven criteria</w:t>
      </w:r>
      <w:r w:rsidR="00567B00">
        <w:t xml:space="preserve"> and provided an associated score for each criterion</w:t>
      </w:r>
      <w:r w:rsidR="006F7436">
        <w:t>.</w:t>
      </w:r>
      <w:r w:rsidR="00C674F9">
        <w:t xml:space="preserve"> </w:t>
      </w:r>
      <w:r w:rsidR="006F7436">
        <w:t xml:space="preserve">An overall score (between 0-7) was </w:t>
      </w:r>
      <w:r w:rsidR="00567B00">
        <w:t xml:space="preserve">calculated </w:t>
      </w:r>
      <w:r w:rsidR="006F7436">
        <w:t>for each standard.</w:t>
      </w:r>
      <w:r w:rsidR="00C674F9">
        <w:t xml:space="preserve"> </w:t>
      </w:r>
      <w:r w:rsidR="006F7436">
        <w:t>The score was derived by assigning a numeric sco</w:t>
      </w:r>
      <w:r w:rsidR="00567B00">
        <w:t>re between 0-1 for each criterion</w:t>
      </w:r>
      <w:r w:rsidR="006F7436">
        <w:t>.</w:t>
      </w:r>
      <w:r w:rsidR="00C674F9">
        <w:t xml:space="preserve"> </w:t>
      </w:r>
      <w:r w:rsidR="006F7436">
        <w:t xml:space="preserve">A </w:t>
      </w:r>
      <w:r w:rsidR="002157D5">
        <w:t>standard received a score of “1”</w:t>
      </w:r>
      <w:r w:rsidR="006F7436">
        <w:t xml:space="preserve"> if it received a rating of</w:t>
      </w:r>
      <w:r w:rsidR="00567B00">
        <w:t xml:space="preserve"> “High”</w:t>
      </w:r>
      <w:r w:rsidR="00087A33">
        <w:t xml:space="preserve"> or other top-tier rating for that </w:t>
      </w:r>
      <w:proofErr w:type="gramStart"/>
      <w:r w:rsidR="00087A33">
        <w:t>particular criteria</w:t>
      </w:r>
      <w:proofErr w:type="gramEnd"/>
      <w:r w:rsidR="00087A33">
        <w:t>.</w:t>
      </w:r>
      <w:r w:rsidR="00C674F9">
        <w:t xml:space="preserve"> </w:t>
      </w:r>
      <w:r w:rsidR="00087A33">
        <w:t>A mid-level</w:t>
      </w:r>
      <w:r w:rsidR="002157D5">
        <w:t xml:space="preserve"> rating resulted in a score of “0.5”</w:t>
      </w:r>
      <w:r w:rsidR="00087A33">
        <w:t xml:space="preserve"> and a low-level ra</w:t>
      </w:r>
      <w:r w:rsidR="002157D5">
        <w:t>ting resulted in a score of “0.”</w:t>
      </w:r>
      <w:r w:rsidR="00C674F9">
        <w:t xml:space="preserve"> </w:t>
      </w:r>
      <w:r w:rsidR="00087A33">
        <w:t>These individual scores were then summed to derive an overall score.</w:t>
      </w:r>
      <w:r w:rsidR="00C674F9">
        <w:t xml:space="preserve"> </w:t>
      </w:r>
      <w:r w:rsidR="00D444C5">
        <w:t>Below is a description of the criteria and their corresponding rating definitions.</w:t>
      </w:r>
    </w:p>
    <w:p w14:paraId="5CCCE13E" w14:textId="13CB360A" w:rsidR="0086027C" w:rsidDel="00C57E22" w:rsidRDefault="0086027C" w:rsidP="0086027C">
      <w:r w:rsidRPr="00E410D0" w:rsidDel="00C57E22">
        <w:rPr>
          <w:rFonts w:ascii="Calibri" w:eastAsia="Calibri" w:hAnsi="Calibri" w:cs="Calibri"/>
          <w:b/>
          <w:bCs/>
        </w:rPr>
        <w:t xml:space="preserve">Market Maturity: </w:t>
      </w:r>
      <w:r w:rsidR="00D444C5">
        <w:rPr>
          <w:rFonts w:ascii="Calibri" w:eastAsia="Calibri" w:hAnsi="Calibri" w:cs="Calibri"/>
          <w:bCs/>
        </w:rPr>
        <w:t>The extent to which the standard is used outside of government and a community exists to promote and support the standard.</w:t>
      </w:r>
    </w:p>
    <w:p w14:paraId="3AE9E58F" w14:textId="5DE06171" w:rsidR="0086027C" w:rsidDel="00C57E22" w:rsidRDefault="0086027C" w:rsidP="0086027C">
      <w:pPr>
        <w:ind w:left="720"/>
        <w:contextualSpacing/>
        <w:rPr>
          <w:rFonts w:ascii="Calibri" w:eastAsia="Calibri" w:hAnsi="Calibri" w:cs="Calibri"/>
        </w:rPr>
      </w:pPr>
      <w:r w:rsidRPr="0043445D" w:rsidDel="00C57E22">
        <w:rPr>
          <w:rFonts w:ascii="Calibri" w:eastAsia="Calibri" w:hAnsi="Calibri" w:cs="Calibri"/>
          <w:b/>
          <w:bCs/>
        </w:rPr>
        <w:t>High (H):</w:t>
      </w:r>
      <w:r w:rsidR="00C674F9">
        <w:rPr>
          <w:rFonts w:ascii="Calibri" w:eastAsia="Calibri" w:hAnsi="Calibri" w:cs="Calibri"/>
        </w:rPr>
        <w:t xml:space="preserve"> </w:t>
      </w:r>
      <w:r w:rsidDel="00C57E22">
        <w:rPr>
          <w:rFonts w:ascii="Calibri" w:eastAsia="Calibri" w:hAnsi="Calibri" w:cs="Calibri"/>
        </w:rPr>
        <w:t>The standard is already being implemented/used by broad sections of the market outside of the government with a corresponding standard setting body having provided accreditation for the standard.</w:t>
      </w:r>
    </w:p>
    <w:p w14:paraId="3A187737" w14:textId="216A9499" w:rsidR="0086027C" w:rsidDel="00C57E22" w:rsidRDefault="0086027C" w:rsidP="0086027C">
      <w:pPr>
        <w:ind w:left="720"/>
        <w:contextualSpacing/>
        <w:rPr>
          <w:rFonts w:ascii="Calibri" w:eastAsia="Calibri" w:hAnsi="Calibri" w:cs="Calibri"/>
        </w:rPr>
      </w:pPr>
      <w:r w:rsidRPr="0043445D" w:rsidDel="00C57E22">
        <w:rPr>
          <w:rFonts w:ascii="Calibri" w:eastAsia="Calibri" w:hAnsi="Calibri" w:cs="Calibri"/>
          <w:b/>
          <w:bCs/>
        </w:rPr>
        <w:t>Medium (M):</w:t>
      </w:r>
      <w:r w:rsidR="00C674F9">
        <w:rPr>
          <w:rFonts w:ascii="Calibri" w:eastAsia="Calibri" w:hAnsi="Calibri" w:cs="Calibri"/>
        </w:rPr>
        <w:t xml:space="preserve"> </w:t>
      </w:r>
      <w:r w:rsidDel="00C57E22">
        <w:rPr>
          <w:rFonts w:ascii="Calibri" w:eastAsia="Calibri" w:hAnsi="Calibri" w:cs="Calibri"/>
        </w:rPr>
        <w:t>The standard is used within a specific community, but has not had broader adoption outside of that community or been accredited by a standard setting body.</w:t>
      </w:r>
    </w:p>
    <w:p w14:paraId="57A251C5" w14:textId="1D005246" w:rsidR="0086027C" w:rsidRDefault="0086027C" w:rsidP="0086027C">
      <w:pPr>
        <w:ind w:left="720"/>
        <w:contextualSpacing/>
        <w:rPr>
          <w:rFonts w:ascii="Calibri" w:eastAsia="Calibri" w:hAnsi="Calibri" w:cs="Calibri"/>
        </w:rPr>
      </w:pPr>
      <w:r w:rsidRPr="0043445D" w:rsidDel="00C57E22">
        <w:rPr>
          <w:rFonts w:ascii="Calibri" w:eastAsia="Calibri" w:hAnsi="Calibri" w:cs="Calibri"/>
          <w:b/>
          <w:bCs/>
        </w:rPr>
        <w:t>Low (L):</w:t>
      </w:r>
      <w:r w:rsidR="00C674F9">
        <w:rPr>
          <w:rFonts w:ascii="Calibri" w:eastAsia="Calibri" w:hAnsi="Calibri" w:cs="Calibri"/>
        </w:rPr>
        <w:t xml:space="preserve"> </w:t>
      </w:r>
      <w:r w:rsidDel="00C57E22">
        <w:rPr>
          <w:rFonts w:ascii="Calibri" w:eastAsia="Calibri" w:hAnsi="Calibri" w:cs="Calibri"/>
        </w:rPr>
        <w:t>The standard is being implemented/used in limited instances, often specific to one or a few entities.</w:t>
      </w:r>
    </w:p>
    <w:p w14:paraId="0927D5C6" w14:textId="77777777" w:rsidR="0086027C" w:rsidDel="00C57E22" w:rsidRDefault="0086027C" w:rsidP="0086027C">
      <w:pPr>
        <w:ind w:left="720"/>
        <w:contextualSpacing/>
      </w:pPr>
    </w:p>
    <w:p w14:paraId="54FE6136" w14:textId="77777777" w:rsidR="00D444C5" w:rsidRPr="00B53F8B" w:rsidDel="00C57E22" w:rsidRDefault="0086027C" w:rsidP="00D444C5">
      <w:pPr>
        <w:rPr>
          <w:rFonts w:ascii="Calibri" w:eastAsia="Calibri" w:hAnsi="Calibri" w:cs="Calibri"/>
          <w:bCs/>
        </w:rPr>
      </w:pPr>
      <w:r w:rsidRPr="0043445D" w:rsidDel="00C57E22">
        <w:rPr>
          <w:rFonts w:ascii="Calibri" w:eastAsia="Calibri" w:hAnsi="Calibri" w:cs="Calibri"/>
          <w:b/>
          <w:bCs/>
        </w:rPr>
        <w:t xml:space="preserve">Ease of </w:t>
      </w:r>
      <w:r>
        <w:rPr>
          <w:rFonts w:ascii="Calibri" w:eastAsia="Calibri" w:hAnsi="Calibri" w:cs="Calibri"/>
          <w:b/>
          <w:bCs/>
        </w:rPr>
        <w:t>Discovery</w:t>
      </w:r>
      <w:r w:rsidRPr="0043445D" w:rsidDel="00C57E22">
        <w:rPr>
          <w:rFonts w:ascii="Calibri" w:eastAsia="Calibri" w:hAnsi="Calibri" w:cs="Calibri"/>
          <w:b/>
          <w:bCs/>
        </w:rPr>
        <w:t>:</w:t>
      </w:r>
      <w:r w:rsidR="00D444C5">
        <w:rPr>
          <w:rFonts w:ascii="Calibri" w:eastAsia="Calibri" w:hAnsi="Calibri" w:cs="Calibri"/>
          <w:b/>
          <w:bCs/>
        </w:rPr>
        <w:t xml:space="preserve"> </w:t>
      </w:r>
      <w:r w:rsidR="00D444C5">
        <w:rPr>
          <w:rFonts w:ascii="Calibri" w:eastAsia="Calibri" w:hAnsi="Calibri" w:cs="Calibri"/>
          <w:bCs/>
        </w:rPr>
        <w:t>The ability to discover and query data published using this standard.</w:t>
      </w:r>
    </w:p>
    <w:p w14:paraId="49F686DD" w14:textId="629F062F" w:rsidR="0086027C" w:rsidRDefault="0086027C" w:rsidP="0086027C">
      <w:pPr>
        <w:ind w:left="720"/>
        <w:contextualSpacing/>
        <w:rPr>
          <w:rFonts w:ascii="Calibri" w:eastAsia="Calibri" w:hAnsi="Calibri" w:cs="Calibri"/>
        </w:rPr>
      </w:pPr>
      <w:r>
        <w:rPr>
          <w:rFonts w:ascii="Calibri" w:eastAsia="Calibri" w:hAnsi="Calibri" w:cs="Calibri"/>
          <w:b/>
          <w:bCs/>
        </w:rPr>
        <w:t>Queryable</w:t>
      </w:r>
      <w:r w:rsidRPr="0043445D" w:rsidDel="00C57E22">
        <w:rPr>
          <w:rFonts w:ascii="Calibri" w:eastAsia="Calibri" w:hAnsi="Calibri" w:cs="Calibri"/>
          <w:b/>
          <w:bCs/>
        </w:rPr>
        <w:t>:</w:t>
      </w:r>
      <w:r w:rsidR="00C674F9">
        <w:rPr>
          <w:rFonts w:ascii="Calibri" w:eastAsia="Calibri" w:hAnsi="Calibri" w:cs="Calibri"/>
          <w:b/>
          <w:bCs/>
        </w:rPr>
        <w:t xml:space="preserve"> </w:t>
      </w:r>
      <w:r w:rsidDel="00C57E22">
        <w:rPr>
          <w:rFonts w:ascii="Calibri" w:eastAsia="Calibri" w:hAnsi="Calibri" w:cs="Calibri"/>
        </w:rPr>
        <w:t>The standard is designed to accommodate the querying of parts of a data set (i.e. data within a date range) or select parameters or sites.</w:t>
      </w:r>
      <w:r w:rsidR="00C674F9">
        <w:rPr>
          <w:rFonts w:ascii="Calibri" w:eastAsia="Calibri" w:hAnsi="Calibri" w:cs="Calibri"/>
        </w:rPr>
        <w:t xml:space="preserve"> </w:t>
      </w:r>
      <w:r w:rsidDel="00C57E22">
        <w:rPr>
          <w:rFonts w:ascii="Calibri" w:eastAsia="Calibri" w:hAnsi="Calibri" w:cs="Calibri"/>
        </w:rPr>
        <w:t>The standard is designed for data sharing for both inbound and outbound communication.</w:t>
      </w:r>
      <w:r w:rsidR="00C674F9">
        <w:rPr>
          <w:rFonts w:ascii="Calibri" w:eastAsia="Calibri" w:hAnsi="Calibri" w:cs="Calibri"/>
        </w:rPr>
        <w:t xml:space="preserve"> </w:t>
      </w:r>
      <w:r w:rsidDel="00C57E22">
        <w:rPr>
          <w:rFonts w:ascii="Calibri" w:eastAsia="Calibri" w:hAnsi="Calibri" w:cs="Calibri"/>
        </w:rPr>
        <w:t>Data shared using this standard follow the FAIR principle in that they are ‘Findable’, ‘Accessible’, ‘Interoperable’, and ‘Reusable.’</w:t>
      </w:r>
    </w:p>
    <w:p w14:paraId="11A0A2FB" w14:textId="36EFDCA5" w:rsidR="0086027C" w:rsidDel="00C57E22" w:rsidRDefault="0086027C" w:rsidP="0086027C">
      <w:pPr>
        <w:ind w:left="720"/>
        <w:contextualSpacing/>
        <w:rPr>
          <w:rFonts w:ascii="Calibri" w:eastAsia="Calibri" w:hAnsi="Calibri" w:cs="Calibri"/>
        </w:rPr>
      </w:pPr>
      <w:r w:rsidRPr="0043445D" w:rsidDel="00C57E22">
        <w:rPr>
          <w:rFonts w:ascii="Calibri" w:eastAsia="Calibri" w:hAnsi="Calibri" w:cs="Calibri"/>
          <w:b/>
          <w:bCs/>
        </w:rPr>
        <w:t>Internal:</w:t>
      </w:r>
      <w:r w:rsidR="00C674F9">
        <w:rPr>
          <w:rFonts w:ascii="Calibri" w:eastAsia="Calibri" w:hAnsi="Calibri" w:cs="Calibri"/>
        </w:rPr>
        <w:t xml:space="preserve"> </w:t>
      </w:r>
      <w:r w:rsidDel="00C57E22">
        <w:rPr>
          <w:rFonts w:ascii="Calibri" w:eastAsia="Calibri" w:hAnsi="Calibri" w:cs="Calibri"/>
        </w:rPr>
        <w:t>The standard does not provide a protocol for external querying, but is rather a standard/protocol for the communication of data from a sensor to a sensor owner or for submitting data to a central system (the external communication is handled by other means and not by the standard).</w:t>
      </w:r>
    </w:p>
    <w:p w14:paraId="5A9930BA" w14:textId="657A4350" w:rsidR="0086027C" w:rsidRDefault="0086027C" w:rsidP="0086027C">
      <w:pPr>
        <w:ind w:left="720"/>
        <w:contextualSpacing/>
        <w:rPr>
          <w:rFonts w:ascii="Calibri" w:eastAsia="Calibri" w:hAnsi="Calibri" w:cs="Calibri"/>
        </w:rPr>
      </w:pPr>
      <w:r w:rsidRPr="0043445D" w:rsidDel="00C57E22">
        <w:rPr>
          <w:rFonts w:ascii="Calibri" w:eastAsia="Calibri" w:hAnsi="Calibri" w:cs="Calibri"/>
          <w:b/>
          <w:bCs/>
        </w:rPr>
        <w:t>Archive:</w:t>
      </w:r>
      <w:r w:rsidR="00C674F9">
        <w:rPr>
          <w:rFonts w:ascii="Calibri" w:eastAsia="Calibri" w:hAnsi="Calibri" w:cs="Calibri"/>
        </w:rPr>
        <w:t xml:space="preserve"> </w:t>
      </w:r>
      <w:r w:rsidDel="00C57E22">
        <w:rPr>
          <w:rFonts w:ascii="Calibri" w:eastAsia="Calibri" w:hAnsi="Calibri" w:cs="Calibri"/>
        </w:rPr>
        <w:t>The standard provides the ability to archive large data sets efficiently, and allows for those data sets to be retrieved efficiently in their entirety, but does not allow the querying of specific pieces of the data.</w:t>
      </w:r>
    </w:p>
    <w:p w14:paraId="41EF3C97" w14:textId="77777777" w:rsidR="0086027C" w:rsidRPr="0043445D" w:rsidDel="00C57E22" w:rsidRDefault="0086027C" w:rsidP="0086027C">
      <w:pPr>
        <w:ind w:left="720"/>
        <w:contextualSpacing/>
        <w:rPr>
          <w:rFonts w:ascii="Calibri" w:eastAsia="Calibri" w:hAnsi="Calibri" w:cs="Calibri"/>
          <w:b/>
          <w:bCs/>
        </w:rPr>
      </w:pPr>
    </w:p>
    <w:p w14:paraId="4EB6C798" w14:textId="77777777" w:rsidR="00D444C5" w:rsidRPr="00B53F8B" w:rsidDel="00C57E22" w:rsidRDefault="0086027C" w:rsidP="00D444C5">
      <w:pPr>
        <w:rPr>
          <w:rFonts w:ascii="Calibri" w:eastAsia="Calibri" w:hAnsi="Calibri" w:cs="Calibri"/>
          <w:bCs/>
        </w:rPr>
      </w:pPr>
      <w:r w:rsidRPr="0043445D" w:rsidDel="00C57E22">
        <w:rPr>
          <w:rFonts w:ascii="Calibri" w:eastAsia="Calibri" w:hAnsi="Calibri" w:cs="Calibri"/>
          <w:b/>
          <w:bCs/>
        </w:rPr>
        <w:t>Government Use:</w:t>
      </w:r>
      <w:r w:rsidR="00D444C5">
        <w:rPr>
          <w:rFonts w:ascii="Calibri" w:eastAsia="Calibri" w:hAnsi="Calibri" w:cs="Calibri"/>
          <w:b/>
          <w:bCs/>
        </w:rPr>
        <w:t xml:space="preserve"> </w:t>
      </w:r>
      <w:r w:rsidR="00D444C5">
        <w:rPr>
          <w:rFonts w:ascii="Calibri" w:eastAsia="Calibri" w:hAnsi="Calibri" w:cs="Calibri"/>
          <w:bCs/>
        </w:rPr>
        <w:t>The extent to which the standard is used by U.S. government agencies.</w:t>
      </w:r>
    </w:p>
    <w:p w14:paraId="64EF7953" w14:textId="11DEB80A" w:rsidR="0086027C" w:rsidDel="00C57E22" w:rsidRDefault="0086027C" w:rsidP="0086027C">
      <w:pPr>
        <w:ind w:left="720"/>
        <w:contextualSpacing/>
        <w:rPr>
          <w:rFonts w:ascii="Calibri" w:eastAsia="Calibri" w:hAnsi="Calibri" w:cs="Calibri"/>
        </w:rPr>
      </w:pPr>
      <w:r w:rsidRPr="0043445D" w:rsidDel="00C57E22">
        <w:rPr>
          <w:rFonts w:ascii="Calibri" w:eastAsia="Calibri" w:hAnsi="Calibri" w:cs="Calibri"/>
          <w:b/>
          <w:bCs/>
        </w:rPr>
        <w:t>Broad:</w:t>
      </w:r>
      <w:r w:rsidR="00C674F9">
        <w:rPr>
          <w:rFonts w:ascii="Calibri" w:eastAsia="Calibri" w:hAnsi="Calibri" w:cs="Calibri"/>
        </w:rPr>
        <w:t xml:space="preserve"> </w:t>
      </w:r>
      <w:r w:rsidDel="00C57E22">
        <w:rPr>
          <w:rFonts w:ascii="Calibri" w:eastAsia="Calibri" w:hAnsi="Calibri" w:cs="Calibri"/>
        </w:rPr>
        <w:t>The standard is used by three or more federal agencies for publishing data.</w:t>
      </w:r>
    </w:p>
    <w:p w14:paraId="520E468F" w14:textId="49E0B311" w:rsidR="0086027C" w:rsidDel="00C57E22" w:rsidRDefault="0086027C" w:rsidP="0086027C">
      <w:pPr>
        <w:ind w:left="720"/>
        <w:contextualSpacing/>
        <w:rPr>
          <w:rFonts w:ascii="Calibri" w:eastAsia="Calibri" w:hAnsi="Calibri" w:cs="Calibri"/>
        </w:rPr>
      </w:pPr>
      <w:r w:rsidRPr="0043445D" w:rsidDel="00C57E22">
        <w:rPr>
          <w:rFonts w:ascii="Calibri" w:eastAsia="Calibri" w:hAnsi="Calibri" w:cs="Calibri"/>
          <w:b/>
          <w:bCs/>
        </w:rPr>
        <w:t>Community:</w:t>
      </w:r>
      <w:r w:rsidR="00C674F9">
        <w:rPr>
          <w:rFonts w:ascii="Calibri" w:eastAsia="Calibri" w:hAnsi="Calibri" w:cs="Calibri"/>
        </w:rPr>
        <w:t xml:space="preserve"> </w:t>
      </w:r>
      <w:r w:rsidDel="00C57E22">
        <w:rPr>
          <w:rFonts w:ascii="Calibri" w:eastAsia="Calibri" w:hAnsi="Calibri" w:cs="Calibri"/>
        </w:rPr>
        <w:t>The standard is used within a specific community (i.e. between states and EPA), but has not had broader adoption beyond that community by other federal agencies.</w:t>
      </w:r>
    </w:p>
    <w:p w14:paraId="08B5BAE3" w14:textId="2AB08BE3" w:rsidR="0086027C" w:rsidDel="00C57E22" w:rsidRDefault="0086027C" w:rsidP="0086027C">
      <w:pPr>
        <w:ind w:left="720"/>
        <w:contextualSpacing/>
        <w:rPr>
          <w:rFonts w:ascii="Calibri" w:eastAsia="Calibri" w:hAnsi="Calibri" w:cs="Calibri"/>
        </w:rPr>
      </w:pPr>
      <w:r w:rsidRPr="0043445D" w:rsidDel="00C57E22">
        <w:rPr>
          <w:rFonts w:ascii="Calibri" w:eastAsia="Calibri" w:hAnsi="Calibri" w:cs="Calibri"/>
          <w:b/>
          <w:bCs/>
        </w:rPr>
        <w:t>Limited:</w:t>
      </w:r>
      <w:r w:rsidR="00C674F9">
        <w:rPr>
          <w:rFonts w:ascii="Calibri" w:eastAsia="Calibri" w:hAnsi="Calibri" w:cs="Calibri"/>
        </w:rPr>
        <w:t xml:space="preserve"> </w:t>
      </w:r>
      <w:r w:rsidDel="00C57E22">
        <w:rPr>
          <w:rFonts w:ascii="Calibri" w:eastAsia="Calibri" w:hAnsi="Calibri" w:cs="Calibri"/>
        </w:rPr>
        <w:t>The standard is used by only one government entity for specific purposes.</w:t>
      </w:r>
    </w:p>
    <w:p w14:paraId="3ECF4F43" w14:textId="7D0DB082" w:rsidR="0086027C" w:rsidRDefault="0086027C" w:rsidP="0086027C">
      <w:pPr>
        <w:ind w:left="720"/>
        <w:contextualSpacing/>
        <w:rPr>
          <w:rFonts w:ascii="Calibri" w:eastAsia="Calibri" w:hAnsi="Calibri" w:cs="Calibri"/>
        </w:rPr>
      </w:pPr>
      <w:r w:rsidRPr="0043445D" w:rsidDel="00C57E22">
        <w:rPr>
          <w:rFonts w:ascii="Calibri" w:eastAsia="Calibri" w:hAnsi="Calibri" w:cs="Calibri"/>
          <w:b/>
          <w:bCs/>
        </w:rPr>
        <w:t>None:</w:t>
      </w:r>
      <w:r w:rsidR="00C674F9">
        <w:rPr>
          <w:rFonts w:ascii="Calibri" w:eastAsia="Calibri" w:hAnsi="Calibri" w:cs="Calibri"/>
          <w:b/>
          <w:bCs/>
        </w:rPr>
        <w:t xml:space="preserve"> </w:t>
      </w:r>
      <w:r w:rsidDel="00C57E22">
        <w:rPr>
          <w:rFonts w:ascii="Calibri" w:eastAsia="Calibri" w:hAnsi="Calibri" w:cs="Calibri"/>
        </w:rPr>
        <w:t>The standard is not used in the government sector.</w:t>
      </w:r>
    </w:p>
    <w:p w14:paraId="32208B0B" w14:textId="77777777" w:rsidR="0086027C" w:rsidDel="00C57E22" w:rsidRDefault="0086027C" w:rsidP="0086027C">
      <w:pPr>
        <w:ind w:left="720"/>
        <w:contextualSpacing/>
        <w:rPr>
          <w:rFonts w:ascii="Calibri" w:eastAsia="Calibri" w:hAnsi="Calibri" w:cs="Calibri"/>
        </w:rPr>
      </w:pPr>
    </w:p>
    <w:p w14:paraId="2582E656" w14:textId="63AA2365" w:rsidR="0086027C" w:rsidDel="00C57E22" w:rsidRDefault="0086027C" w:rsidP="0086027C">
      <w:pPr>
        <w:rPr>
          <w:rFonts w:ascii="Calibri" w:eastAsia="Calibri" w:hAnsi="Calibri" w:cs="Calibri"/>
        </w:rPr>
      </w:pPr>
      <w:r w:rsidRPr="0043445D" w:rsidDel="00C57E22">
        <w:rPr>
          <w:rFonts w:ascii="Calibri" w:eastAsia="Calibri" w:hAnsi="Calibri" w:cs="Calibri"/>
          <w:b/>
          <w:bCs/>
        </w:rPr>
        <w:t>Data Quality Documentation:</w:t>
      </w:r>
      <w:r w:rsidR="00C674F9">
        <w:rPr>
          <w:rFonts w:ascii="Calibri" w:eastAsia="Calibri" w:hAnsi="Calibri" w:cs="Calibri"/>
          <w:b/>
          <w:bCs/>
        </w:rPr>
        <w:t xml:space="preserve"> </w:t>
      </w:r>
      <w:r w:rsidR="00D444C5">
        <w:rPr>
          <w:rFonts w:ascii="Calibri" w:eastAsia="Calibri" w:hAnsi="Calibri" w:cs="Calibri"/>
          <w:bCs/>
        </w:rPr>
        <w:t>The built-in capability of the standard to provide the data elements that would allow a user to determine the quality of the data.</w:t>
      </w:r>
    </w:p>
    <w:p w14:paraId="29CB33B5" w14:textId="5090DA79" w:rsidR="0086027C" w:rsidRPr="00192D10" w:rsidDel="00C57E22" w:rsidRDefault="0086027C" w:rsidP="0086027C">
      <w:pPr>
        <w:ind w:left="720"/>
        <w:contextualSpacing/>
        <w:rPr>
          <w:rFonts w:ascii="Calibri" w:eastAsia="Calibri" w:hAnsi="Calibri" w:cs="Calibri"/>
        </w:rPr>
      </w:pPr>
      <w:r w:rsidRPr="0043445D" w:rsidDel="00C57E22">
        <w:rPr>
          <w:rFonts w:ascii="Calibri" w:eastAsia="Calibri" w:hAnsi="Calibri" w:cs="Calibri"/>
          <w:b/>
          <w:bCs/>
        </w:rPr>
        <w:lastRenderedPageBreak/>
        <w:t>High (H):</w:t>
      </w:r>
      <w:r w:rsidR="00C674F9">
        <w:rPr>
          <w:rFonts w:ascii="Calibri" w:eastAsia="Calibri" w:hAnsi="Calibri" w:cs="Calibri"/>
        </w:rPr>
        <w:t xml:space="preserve"> </w:t>
      </w:r>
      <w:r w:rsidDel="00C57E22">
        <w:rPr>
          <w:rFonts w:ascii="Calibri" w:eastAsia="Calibri" w:hAnsi="Calibri" w:cs="Calibri"/>
        </w:rPr>
        <w:t>The standard captures full metadata on data quality, including: methods used for collection and analysis, equipment used, precision and accuracy of the measurements, data quality flags, and other relevant QA/QC information.</w:t>
      </w:r>
      <w:r w:rsidR="00C674F9">
        <w:rPr>
          <w:rFonts w:ascii="Calibri" w:eastAsia="Calibri" w:hAnsi="Calibri" w:cs="Calibri"/>
        </w:rPr>
        <w:t xml:space="preserve"> </w:t>
      </w:r>
      <w:r>
        <w:rPr>
          <w:rFonts w:ascii="Calibri" w:eastAsia="Calibri" w:hAnsi="Calibri" w:cs="Calibri"/>
        </w:rPr>
        <w:t>The standard contains all the necessary metadata elements as-is without the need for modification.</w:t>
      </w:r>
    </w:p>
    <w:p w14:paraId="738B5EA6" w14:textId="0B59816B" w:rsidR="0086027C" w:rsidRPr="00192D10" w:rsidDel="00C57E22" w:rsidRDefault="0086027C" w:rsidP="0086027C">
      <w:pPr>
        <w:ind w:left="720"/>
        <w:contextualSpacing/>
        <w:rPr>
          <w:rFonts w:ascii="Calibri" w:eastAsia="Calibri" w:hAnsi="Calibri" w:cs="Calibri"/>
        </w:rPr>
      </w:pPr>
      <w:r w:rsidRPr="0043445D" w:rsidDel="00C57E22">
        <w:rPr>
          <w:rFonts w:ascii="Calibri" w:eastAsia="Calibri" w:hAnsi="Calibri" w:cs="Calibri"/>
          <w:b/>
          <w:bCs/>
        </w:rPr>
        <w:t>Medium (M):</w:t>
      </w:r>
      <w:r w:rsidR="00C674F9">
        <w:rPr>
          <w:rFonts w:ascii="Calibri" w:eastAsia="Calibri" w:hAnsi="Calibri" w:cs="Calibri"/>
        </w:rPr>
        <w:t xml:space="preserve"> </w:t>
      </w:r>
      <w:r w:rsidDel="00C57E22">
        <w:rPr>
          <w:rFonts w:ascii="Calibri" w:eastAsia="Calibri" w:hAnsi="Calibri" w:cs="Calibri"/>
        </w:rPr>
        <w:t>The standard captures some metadata about data quality which may include, at a minimum, data quality flags, but may not have a standard approach for capturing other metadata such as methods and equipment.</w:t>
      </w:r>
      <w:r w:rsidR="00C674F9">
        <w:rPr>
          <w:rFonts w:ascii="Calibri" w:eastAsia="Calibri" w:hAnsi="Calibri" w:cs="Calibri"/>
        </w:rPr>
        <w:t xml:space="preserve"> </w:t>
      </w:r>
      <w:r>
        <w:rPr>
          <w:rFonts w:ascii="Calibri" w:eastAsia="Calibri" w:hAnsi="Calibri" w:cs="Calibri"/>
        </w:rPr>
        <w:t>The standard has the potential to be extended to define these data elements, but more work would need be done in this area.</w:t>
      </w:r>
    </w:p>
    <w:p w14:paraId="44BAF37A" w14:textId="7509DC18" w:rsidR="0086027C" w:rsidRPr="00192D10" w:rsidRDefault="0086027C" w:rsidP="0086027C">
      <w:pPr>
        <w:ind w:left="720"/>
        <w:contextualSpacing/>
        <w:rPr>
          <w:rFonts w:ascii="Calibri" w:eastAsia="Calibri" w:hAnsi="Calibri" w:cs="Calibri"/>
        </w:rPr>
      </w:pPr>
      <w:r w:rsidRPr="0043445D" w:rsidDel="00C57E22">
        <w:rPr>
          <w:rFonts w:ascii="Calibri" w:eastAsia="Calibri" w:hAnsi="Calibri" w:cs="Calibri"/>
          <w:b/>
          <w:bCs/>
        </w:rPr>
        <w:t>Low (L):</w:t>
      </w:r>
      <w:r w:rsidR="00C674F9">
        <w:rPr>
          <w:rFonts w:ascii="Calibri" w:eastAsia="Calibri" w:hAnsi="Calibri" w:cs="Calibri"/>
        </w:rPr>
        <w:t xml:space="preserve"> </w:t>
      </w:r>
      <w:r w:rsidDel="00C57E22">
        <w:rPr>
          <w:rFonts w:ascii="Calibri" w:eastAsia="Calibri" w:hAnsi="Calibri" w:cs="Calibri"/>
        </w:rPr>
        <w:t xml:space="preserve">The standard captures limited metadata, and in some </w:t>
      </w:r>
      <w:proofErr w:type="gramStart"/>
      <w:r w:rsidDel="00C57E22">
        <w:rPr>
          <w:rFonts w:ascii="Calibri" w:eastAsia="Calibri" w:hAnsi="Calibri" w:cs="Calibri"/>
        </w:rPr>
        <w:t>cases</w:t>
      </w:r>
      <w:proofErr w:type="gramEnd"/>
      <w:r w:rsidDel="00C57E22">
        <w:rPr>
          <w:rFonts w:ascii="Calibri" w:eastAsia="Calibri" w:hAnsi="Calibri" w:cs="Calibri"/>
        </w:rPr>
        <w:t xml:space="preserve"> may only provide the final values. Data quality is ensured via other mechanisms, and is assumed within the data standard, but is not directly discoverable in the standard.</w:t>
      </w:r>
    </w:p>
    <w:p w14:paraId="531B5BD2" w14:textId="77777777" w:rsidR="0086027C" w:rsidDel="00C57E22" w:rsidRDefault="0086027C" w:rsidP="0086027C">
      <w:pPr>
        <w:ind w:left="720"/>
        <w:contextualSpacing/>
        <w:rPr>
          <w:rFonts w:ascii="Calibri" w:eastAsia="Calibri" w:hAnsi="Calibri" w:cs="Calibri"/>
        </w:rPr>
      </w:pPr>
    </w:p>
    <w:p w14:paraId="7DD9A09B" w14:textId="384CF3C2" w:rsidR="00D444C5" w:rsidRDefault="0086027C" w:rsidP="00D444C5">
      <w:pPr>
        <w:rPr>
          <w:rFonts w:ascii="Calibri" w:eastAsia="Calibri" w:hAnsi="Calibri" w:cs="Calibri"/>
        </w:rPr>
      </w:pPr>
      <w:r w:rsidRPr="0043445D" w:rsidDel="00C57E22">
        <w:rPr>
          <w:rFonts w:ascii="Calibri" w:eastAsia="Calibri" w:hAnsi="Calibri" w:cs="Calibri"/>
          <w:b/>
          <w:bCs/>
        </w:rPr>
        <w:t>Off-the-Shelf/Community Support:</w:t>
      </w:r>
      <w:r w:rsidR="00C674F9">
        <w:rPr>
          <w:rFonts w:ascii="Calibri" w:eastAsia="Calibri" w:hAnsi="Calibri" w:cs="Calibri"/>
          <w:b/>
          <w:bCs/>
        </w:rPr>
        <w:t xml:space="preserve"> </w:t>
      </w:r>
      <w:r w:rsidR="00D444C5">
        <w:rPr>
          <w:rFonts w:ascii="Calibri" w:eastAsia="Calibri" w:hAnsi="Calibri" w:cs="Calibri"/>
          <w:bCs/>
        </w:rPr>
        <w:t>The extent to which third-party developers have developed off-the-shelf software that support or implement the standard.</w:t>
      </w:r>
    </w:p>
    <w:p w14:paraId="689EC286" w14:textId="5D786D1C" w:rsidR="0086027C" w:rsidDel="00C57E22" w:rsidRDefault="0086027C" w:rsidP="0086027C">
      <w:pPr>
        <w:ind w:left="720"/>
        <w:contextualSpacing/>
        <w:rPr>
          <w:rFonts w:ascii="Calibri" w:eastAsia="Calibri" w:hAnsi="Calibri" w:cs="Calibri"/>
        </w:rPr>
      </w:pPr>
      <w:r w:rsidRPr="0043445D" w:rsidDel="00C57E22">
        <w:rPr>
          <w:rFonts w:ascii="Calibri" w:eastAsia="Calibri" w:hAnsi="Calibri" w:cs="Calibri"/>
          <w:b/>
          <w:bCs/>
        </w:rPr>
        <w:t>High (H):</w:t>
      </w:r>
      <w:r w:rsidR="00C674F9">
        <w:rPr>
          <w:rFonts w:ascii="Calibri" w:eastAsia="Calibri" w:hAnsi="Calibri" w:cs="Calibri"/>
        </w:rPr>
        <w:t xml:space="preserve"> </w:t>
      </w:r>
      <w:r w:rsidDel="00C57E22">
        <w:rPr>
          <w:rFonts w:ascii="Calibri" w:eastAsia="Calibri" w:hAnsi="Calibri" w:cs="Calibri"/>
        </w:rPr>
        <w:t>Third-party vendors or communities have emerged to develop, market, and support tools that enable this standard with only limited government involvement.</w:t>
      </w:r>
      <w:r w:rsidR="00C674F9">
        <w:rPr>
          <w:rFonts w:ascii="Calibri" w:eastAsia="Calibri" w:hAnsi="Calibri" w:cs="Calibri"/>
        </w:rPr>
        <w:t xml:space="preserve"> </w:t>
      </w:r>
      <w:r w:rsidDel="00C57E22">
        <w:rPr>
          <w:rFonts w:ascii="Calibri" w:eastAsia="Calibri" w:hAnsi="Calibri" w:cs="Calibri"/>
        </w:rPr>
        <w:t>A high rating indicates that there are several off-the-shelf products available that could be used to implement this standard either for a cost or as an open-source option.</w:t>
      </w:r>
      <w:r w:rsidR="00C674F9">
        <w:rPr>
          <w:rFonts w:ascii="Calibri" w:eastAsia="Calibri" w:hAnsi="Calibri" w:cs="Calibri"/>
        </w:rPr>
        <w:t xml:space="preserve"> </w:t>
      </w:r>
    </w:p>
    <w:p w14:paraId="2D998D4F" w14:textId="2505F4A9" w:rsidR="0086027C" w:rsidDel="00C57E22" w:rsidRDefault="0086027C" w:rsidP="0086027C">
      <w:pPr>
        <w:ind w:left="720"/>
        <w:contextualSpacing/>
        <w:rPr>
          <w:rFonts w:ascii="Calibri" w:eastAsia="Calibri" w:hAnsi="Calibri" w:cs="Calibri"/>
        </w:rPr>
      </w:pPr>
      <w:r w:rsidRPr="0043445D" w:rsidDel="00C57E22">
        <w:rPr>
          <w:rFonts w:ascii="Calibri" w:eastAsia="Calibri" w:hAnsi="Calibri" w:cs="Calibri"/>
          <w:b/>
          <w:bCs/>
        </w:rPr>
        <w:t>Medium (M):</w:t>
      </w:r>
      <w:r w:rsidR="00C674F9">
        <w:rPr>
          <w:rFonts w:ascii="Calibri" w:eastAsia="Calibri" w:hAnsi="Calibri" w:cs="Calibri"/>
        </w:rPr>
        <w:t xml:space="preserve"> </w:t>
      </w:r>
      <w:r w:rsidDel="00C57E22">
        <w:rPr>
          <w:rFonts w:ascii="Calibri" w:eastAsia="Calibri" w:hAnsi="Calibri" w:cs="Calibri"/>
        </w:rPr>
        <w:t>Some third-party applications exist, but are serving exclusively a government market.</w:t>
      </w:r>
      <w:r w:rsidR="00C674F9">
        <w:rPr>
          <w:rFonts w:ascii="Calibri" w:eastAsia="Calibri" w:hAnsi="Calibri" w:cs="Calibri"/>
        </w:rPr>
        <w:t xml:space="preserve"> </w:t>
      </w:r>
      <w:r w:rsidDel="00C57E22">
        <w:rPr>
          <w:rFonts w:ascii="Calibri" w:eastAsia="Calibri" w:hAnsi="Calibri" w:cs="Calibri"/>
        </w:rPr>
        <w:t>Without a government market driving the development of these tools it is uncertain if the market for these tools would continue to exist.</w:t>
      </w:r>
    </w:p>
    <w:p w14:paraId="76CEE87C" w14:textId="47F50826" w:rsidR="0086027C" w:rsidRDefault="0086027C" w:rsidP="0086027C">
      <w:pPr>
        <w:ind w:left="720"/>
        <w:contextualSpacing/>
        <w:rPr>
          <w:rFonts w:ascii="Calibri" w:eastAsia="Calibri" w:hAnsi="Calibri" w:cs="Calibri"/>
        </w:rPr>
      </w:pPr>
      <w:r w:rsidRPr="0043445D" w:rsidDel="00C57E22">
        <w:rPr>
          <w:rFonts w:ascii="Calibri" w:eastAsia="Calibri" w:hAnsi="Calibri" w:cs="Calibri"/>
          <w:b/>
          <w:bCs/>
        </w:rPr>
        <w:t>Low (L):</w:t>
      </w:r>
      <w:r w:rsidR="00C674F9">
        <w:rPr>
          <w:rFonts w:ascii="Calibri" w:eastAsia="Calibri" w:hAnsi="Calibri" w:cs="Calibri"/>
          <w:b/>
          <w:bCs/>
        </w:rPr>
        <w:t xml:space="preserve"> </w:t>
      </w:r>
      <w:r w:rsidDel="00C57E22">
        <w:rPr>
          <w:rFonts w:ascii="Calibri" w:eastAsia="Calibri" w:hAnsi="Calibri" w:cs="Calibri"/>
        </w:rPr>
        <w:t>Only custom-developed tools exist that were either developed by the private sector or government to implement that standard for one implementation.</w:t>
      </w:r>
      <w:r w:rsidR="00C674F9">
        <w:rPr>
          <w:rFonts w:ascii="Calibri" w:eastAsia="Calibri" w:hAnsi="Calibri" w:cs="Calibri"/>
        </w:rPr>
        <w:t xml:space="preserve"> </w:t>
      </w:r>
      <w:r w:rsidDel="00C57E22">
        <w:rPr>
          <w:rFonts w:ascii="Calibri" w:eastAsia="Calibri" w:hAnsi="Calibri" w:cs="Calibri"/>
        </w:rPr>
        <w:t>A re-use or support community has not yet emerged.</w:t>
      </w:r>
    </w:p>
    <w:p w14:paraId="7AB9E69D" w14:textId="77777777" w:rsidR="0086027C" w:rsidDel="00C57E22" w:rsidRDefault="0086027C" w:rsidP="0086027C">
      <w:pPr>
        <w:ind w:left="720"/>
        <w:contextualSpacing/>
        <w:rPr>
          <w:rFonts w:ascii="Calibri" w:eastAsia="Calibri" w:hAnsi="Calibri" w:cs="Calibri"/>
        </w:rPr>
      </w:pPr>
    </w:p>
    <w:p w14:paraId="32BCC258" w14:textId="10A4090C" w:rsidR="00D444C5" w:rsidRPr="00B53F8B" w:rsidDel="00C57E22" w:rsidRDefault="0086027C" w:rsidP="00D444C5">
      <w:pPr>
        <w:rPr>
          <w:rFonts w:ascii="Calibri" w:eastAsia="Calibri" w:hAnsi="Calibri" w:cs="Calibri"/>
          <w:b/>
        </w:rPr>
      </w:pPr>
      <w:r w:rsidRPr="0043445D" w:rsidDel="00C57E22">
        <w:rPr>
          <w:rFonts w:ascii="Calibri" w:eastAsia="Calibri" w:hAnsi="Calibri" w:cs="Calibri"/>
          <w:b/>
          <w:bCs/>
        </w:rPr>
        <w:t>Use Cases:</w:t>
      </w:r>
      <w:r w:rsidR="00C674F9">
        <w:rPr>
          <w:rFonts w:ascii="Calibri" w:eastAsia="Calibri" w:hAnsi="Calibri" w:cs="Calibri"/>
          <w:b/>
          <w:bCs/>
        </w:rPr>
        <w:t xml:space="preserve"> </w:t>
      </w:r>
      <w:r w:rsidR="00D444C5">
        <w:rPr>
          <w:rFonts w:ascii="Calibri" w:eastAsia="Calibri" w:hAnsi="Calibri" w:cs="Calibri"/>
          <w:bCs/>
        </w:rPr>
        <w:t>Does the standard support the following four use cases:</w:t>
      </w:r>
    </w:p>
    <w:p w14:paraId="153D3889" w14:textId="78F494D3" w:rsidR="0086027C" w:rsidRPr="0043445D" w:rsidDel="00C57E22" w:rsidRDefault="0086027C" w:rsidP="0086027C">
      <w:pPr>
        <w:pStyle w:val="ListParagraph"/>
        <w:numPr>
          <w:ilvl w:val="0"/>
          <w:numId w:val="22"/>
        </w:numPr>
        <w:rPr>
          <w:rFonts w:ascii="Calibri" w:eastAsia="Calibri" w:hAnsi="Calibri" w:cs="Calibri"/>
          <w:b/>
          <w:bCs/>
        </w:rPr>
      </w:pPr>
      <w:r w:rsidDel="00C57E22">
        <w:rPr>
          <w:rFonts w:ascii="Calibri" w:eastAsia="Calibri" w:hAnsi="Calibri" w:cs="Calibri"/>
        </w:rPr>
        <w:t>Provide real-time access to sensor data.</w:t>
      </w:r>
      <w:r w:rsidR="00C674F9">
        <w:rPr>
          <w:rFonts w:ascii="Calibri" w:eastAsia="Calibri" w:hAnsi="Calibri" w:cs="Calibri"/>
        </w:rPr>
        <w:t xml:space="preserve"> </w:t>
      </w:r>
      <w:r w:rsidDel="00C57E22">
        <w:rPr>
          <w:rFonts w:ascii="Calibri" w:eastAsia="Calibri" w:hAnsi="Calibri" w:cs="Calibri"/>
        </w:rPr>
        <w:t>“Tell me the value right now, or at least the last reading.”</w:t>
      </w:r>
    </w:p>
    <w:p w14:paraId="68AE9711" w14:textId="77777777" w:rsidR="0086027C" w:rsidRPr="0043445D" w:rsidDel="00C57E22" w:rsidRDefault="0086027C" w:rsidP="0086027C">
      <w:pPr>
        <w:pStyle w:val="ListParagraph"/>
        <w:numPr>
          <w:ilvl w:val="0"/>
          <w:numId w:val="22"/>
        </w:numPr>
        <w:rPr>
          <w:rFonts w:ascii="Calibri" w:eastAsia="Calibri" w:hAnsi="Calibri" w:cs="Calibri"/>
          <w:b/>
          <w:bCs/>
        </w:rPr>
      </w:pPr>
      <w:r w:rsidDel="00C57E22">
        <w:rPr>
          <w:rFonts w:ascii="Calibri" w:eastAsia="Calibri" w:hAnsi="Calibri" w:cs="Calibri"/>
        </w:rPr>
        <w:t>Query the data by date and parameter, and allow the retrieval of large amounts of data quickly and efficiently.</w:t>
      </w:r>
    </w:p>
    <w:p w14:paraId="0CE642F7" w14:textId="0E3D47A8" w:rsidR="0086027C" w:rsidRPr="0043445D" w:rsidDel="00C57E22" w:rsidRDefault="0086027C" w:rsidP="0086027C">
      <w:pPr>
        <w:pStyle w:val="ListParagraph"/>
        <w:numPr>
          <w:ilvl w:val="0"/>
          <w:numId w:val="22"/>
        </w:numPr>
        <w:rPr>
          <w:rFonts w:ascii="Calibri" w:eastAsia="Calibri" w:hAnsi="Calibri" w:cs="Calibri"/>
          <w:b/>
          <w:bCs/>
        </w:rPr>
      </w:pPr>
      <w:r w:rsidDel="00C57E22">
        <w:rPr>
          <w:rFonts w:ascii="Calibri" w:eastAsia="Calibri" w:hAnsi="Calibri" w:cs="Calibri"/>
        </w:rPr>
        <w:t>Allow for data ownership.</w:t>
      </w:r>
      <w:r w:rsidR="00C674F9">
        <w:rPr>
          <w:rFonts w:ascii="Calibri" w:eastAsia="Calibri" w:hAnsi="Calibri" w:cs="Calibri"/>
        </w:rPr>
        <w:t xml:space="preserve"> </w:t>
      </w:r>
      <w:r w:rsidDel="00C57E22">
        <w:rPr>
          <w:rFonts w:ascii="Calibri" w:eastAsia="Calibri" w:hAnsi="Calibri" w:cs="Calibri"/>
        </w:rPr>
        <w:t>Easily identify who owns the data when data are being provided by multiple different entities, and allow for the retrieval of relevant data quality information across organizations.</w:t>
      </w:r>
    </w:p>
    <w:p w14:paraId="5ADB7FBD" w14:textId="67C879EC" w:rsidR="00C674F9" w:rsidRPr="00A21B87" w:rsidRDefault="0086027C" w:rsidP="00A21B87">
      <w:pPr>
        <w:pStyle w:val="ListParagraph"/>
        <w:numPr>
          <w:ilvl w:val="0"/>
          <w:numId w:val="22"/>
        </w:numPr>
        <w:rPr>
          <w:b/>
          <w:bCs/>
        </w:rPr>
      </w:pPr>
      <w:r w:rsidDel="00C57E22">
        <w:rPr>
          <w:rFonts w:ascii="Calibri" w:eastAsia="Calibri" w:hAnsi="Calibri" w:cs="Calibri"/>
        </w:rPr>
        <w:t>Allow for long-term archiving of high temporal-density data sets.</w:t>
      </w:r>
    </w:p>
    <w:p w14:paraId="3DC04E2C" w14:textId="1C03DA54" w:rsidR="0086027C" w:rsidDel="00C57E22" w:rsidRDefault="0086027C" w:rsidP="0086027C">
      <w:r w:rsidRPr="0043445D" w:rsidDel="00C57E22">
        <w:rPr>
          <w:b/>
          <w:bCs/>
        </w:rPr>
        <w:t>Multimedia:</w:t>
      </w:r>
      <w:r w:rsidR="00C674F9">
        <w:rPr>
          <w:b/>
          <w:bCs/>
        </w:rPr>
        <w:t xml:space="preserve"> </w:t>
      </w:r>
      <w:r w:rsidR="00D444C5">
        <w:rPr>
          <w:bCs/>
        </w:rPr>
        <w:t>Has the standard been designed and/or tested to share both air and water data?</w:t>
      </w:r>
    </w:p>
    <w:p w14:paraId="1583C607" w14:textId="30FC3C9B" w:rsidR="0086027C" w:rsidDel="00C57E22" w:rsidRDefault="0086027C" w:rsidP="0086027C">
      <w:pPr>
        <w:ind w:left="720"/>
        <w:contextualSpacing/>
      </w:pPr>
      <w:r w:rsidRPr="0043445D" w:rsidDel="00C57E22">
        <w:rPr>
          <w:b/>
          <w:bCs/>
        </w:rPr>
        <w:t>Tested:</w:t>
      </w:r>
      <w:r w:rsidR="00C674F9">
        <w:t xml:space="preserve"> </w:t>
      </w:r>
      <w:r w:rsidDel="00C57E22">
        <w:t>The standard has been designed and tested for the sharing of real-time data for both air</w:t>
      </w:r>
      <w:r w:rsidRPr="42B3EC0E">
        <w:t xml:space="preserve"> </w:t>
      </w:r>
      <w:r w:rsidDel="00C57E22">
        <w:t>and water.</w:t>
      </w:r>
    </w:p>
    <w:p w14:paraId="7B50BE6D" w14:textId="42FE94AD" w:rsidR="0086027C" w:rsidDel="00C57E22" w:rsidRDefault="0086027C" w:rsidP="0086027C">
      <w:pPr>
        <w:ind w:left="720"/>
        <w:contextualSpacing/>
      </w:pPr>
      <w:r w:rsidRPr="0043445D" w:rsidDel="00C57E22">
        <w:rPr>
          <w:b/>
          <w:bCs/>
        </w:rPr>
        <w:t>Designed:</w:t>
      </w:r>
      <w:r w:rsidR="00C674F9">
        <w:rPr>
          <w:b/>
          <w:bCs/>
        </w:rPr>
        <w:t xml:space="preserve"> </w:t>
      </w:r>
      <w:r w:rsidDel="00C57E22">
        <w:t>The standard has been designed, but not yet tested for the sharing of real-time data for both air and water.</w:t>
      </w:r>
    </w:p>
    <w:p w14:paraId="63A64B2A" w14:textId="345CA160" w:rsidR="0086027C" w:rsidRDefault="0086027C" w:rsidP="0086027C">
      <w:pPr>
        <w:ind w:left="720"/>
        <w:contextualSpacing/>
        <w:rPr>
          <w:b/>
          <w:bCs/>
        </w:rPr>
      </w:pPr>
      <w:r w:rsidRPr="0043445D" w:rsidDel="00C57E22">
        <w:rPr>
          <w:b/>
          <w:bCs/>
        </w:rPr>
        <w:t>Single-Media:</w:t>
      </w:r>
      <w:r w:rsidR="00C674F9">
        <w:rPr>
          <w:b/>
          <w:bCs/>
        </w:rPr>
        <w:t xml:space="preserve"> </w:t>
      </w:r>
      <w:r w:rsidDel="00C57E22">
        <w:t>The standard is designed specifically for sharing data for either air or water, but not both.</w:t>
      </w:r>
    </w:p>
    <w:p w14:paraId="147C737E" w14:textId="35D1560F" w:rsidR="00B727C4" w:rsidRDefault="00B727C4">
      <w:pPr>
        <w:rPr>
          <w:b/>
          <w:bCs/>
        </w:rPr>
      </w:pPr>
      <w:r>
        <w:rPr>
          <w:b/>
          <w:bCs/>
        </w:rPr>
        <w:br w:type="page"/>
      </w:r>
    </w:p>
    <w:p w14:paraId="6921A19D" w14:textId="77777777" w:rsidR="00B727C4" w:rsidRPr="00385831" w:rsidRDefault="00B727C4" w:rsidP="00B727C4">
      <w:pPr>
        <w:pStyle w:val="Heading1"/>
        <w:rPr>
          <w:rFonts w:eastAsia="Calibri"/>
        </w:rPr>
      </w:pPr>
      <w:r>
        <w:rPr>
          <w:rFonts w:eastAsia="Calibri"/>
        </w:rPr>
        <w:lastRenderedPageBreak/>
        <w:t xml:space="preserve">Appendix B: </w:t>
      </w:r>
      <w:r w:rsidRPr="00385831">
        <w:rPr>
          <w:rFonts w:eastAsia="Calibri"/>
        </w:rPr>
        <w:t>Researched System Descriptions</w:t>
      </w:r>
    </w:p>
    <w:p w14:paraId="4A41FD32" w14:textId="77777777" w:rsidR="00B727C4" w:rsidRDefault="00B727C4" w:rsidP="00B727C4">
      <w:pPr>
        <w:rPr>
          <w:rFonts w:ascii="Calibri" w:eastAsia="Calibri" w:hAnsi="Calibri" w:cs="Calibri"/>
          <w:b/>
          <w:bCs/>
        </w:rPr>
      </w:pPr>
    </w:p>
    <w:p w14:paraId="609B35FD" w14:textId="77777777" w:rsidR="00B727C4" w:rsidRDefault="00B727C4" w:rsidP="00B727C4">
      <w:pPr>
        <w:rPr>
          <w:rFonts w:ascii="Calibri" w:eastAsia="Calibri" w:hAnsi="Calibri" w:cs="Calibri"/>
          <w:b/>
          <w:bCs/>
        </w:rPr>
      </w:pPr>
      <w:r w:rsidRPr="008F5C96">
        <w:rPr>
          <w:rFonts w:ascii="Calibri" w:eastAsia="Calibri" w:hAnsi="Calibri" w:cs="Calibri"/>
        </w:rPr>
        <w:t>As part of the evaluation of the standards, the team looked at existing systems and implementations. This helped inform the evolution. Below is a description of each of the standards and implementations of those standards that were evaluated.</w:t>
      </w:r>
    </w:p>
    <w:p w14:paraId="3D73080C" w14:textId="77777777" w:rsidR="00B727C4" w:rsidRDefault="00B727C4" w:rsidP="00B727C4">
      <w:pPr>
        <w:pStyle w:val="Heading2"/>
        <w:rPr>
          <w:rFonts w:eastAsia="Calibri"/>
        </w:rPr>
      </w:pPr>
      <w:r>
        <w:rPr>
          <w:rFonts w:eastAsia="Calibri"/>
        </w:rPr>
        <w:t>Standards Evaluated</w:t>
      </w:r>
    </w:p>
    <w:p w14:paraId="010885BC" w14:textId="6F836203" w:rsidR="00B727C4" w:rsidRPr="00E410D0" w:rsidRDefault="00291C52" w:rsidP="00B727C4">
      <w:r>
        <w:rPr>
          <w:rFonts w:ascii="Calibri" w:eastAsia="Calibri" w:hAnsi="Calibri" w:cs="Calibri"/>
          <w:b/>
          <w:bCs/>
        </w:rPr>
        <w:t>OGC</w:t>
      </w:r>
      <w:r w:rsidR="00B727C4" w:rsidRPr="00E410D0">
        <w:rPr>
          <w:rFonts w:ascii="Calibri" w:eastAsia="Calibri" w:hAnsi="Calibri" w:cs="Calibri"/>
          <w:b/>
          <w:bCs/>
        </w:rPr>
        <w:t xml:space="preserve"> SensorML/ WaterML 2</w:t>
      </w:r>
    </w:p>
    <w:p w14:paraId="3EFF3AD0" w14:textId="1C776A7E" w:rsidR="00B727C4" w:rsidRDefault="00B727C4" w:rsidP="00B727C4">
      <w:pPr>
        <w:rPr>
          <w:rFonts w:ascii="Calibri" w:eastAsia="Calibri" w:hAnsi="Calibri" w:cs="Calibri"/>
        </w:rPr>
      </w:pPr>
      <w:r w:rsidRPr="00E410D0">
        <w:rPr>
          <w:rFonts w:ascii="Calibri" w:eastAsia="Calibri" w:hAnsi="Calibri" w:cs="Calibri"/>
        </w:rPr>
        <w:t xml:space="preserve">The Open Geospatial Consortium (OGC, 2017) is </w:t>
      </w:r>
      <w:proofErr w:type="gramStart"/>
      <w:r w:rsidRPr="00E410D0">
        <w:rPr>
          <w:rFonts w:ascii="Calibri" w:eastAsia="Calibri" w:hAnsi="Calibri" w:cs="Calibri"/>
        </w:rPr>
        <w:t>an international standards</w:t>
      </w:r>
      <w:proofErr w:type="gramEnd"/>
      <w:r w:rsidRPr="00E410D0">
        <w:rPr>
          <w:rFonts w:ascii="Calibri" w:eastAsia="Calibri" w:hAnsi="Calibri" w:cs="Calibri"/>
        </w:rPr>
        <w:t xml:space="preserve"> setting body that works to define standards and protocols for communicating geospatial data.</w:t>
      </w:r>
      <w:r>
        <w:rPr>
          <w:rFonts w:ascii="Calibri" w:eastAsia="Calibri" w:hAnsi="Calibri" w:cs="Calibri"/>
        </w:rPr>
        <w:t xml:space="preserve"> </w:t>
      </w:r>
      <w:r w:rsidRPr="00E410D0">
        <w:rPr>
          <w:rFonts w:ascii="Calibri" w:eastAsia="Calibri" w:hAnsi="Calibri" w:cs="Calibri"/>
        </w:rPr>
        <w:t>Their largest areas of focus have been on mapping data.</w:t>
      </w:r>
      <w:r>
        <w:rPr>
          <w:rFonts w:ascii="Calibri" w:eastAsia="Calibri" w:hAnsi="Calibri" w:cs="Calibri"/>
        </w:rPr>
        <w:t xml:space="preserve"> </w:t>
      </w:r>
      <w:r w:rsidRPr="00E410D0">
        <w:rPr>
          <w:rFonts w:ascii="Calibri" w:eastAsia="Calibri" w:hAnsi="Calibri" w:cs="Calibri"/>
        </w:rPr>
        <w:t>Some other example standards from OGC include Web Mapping Service, Web Feature Service, and Keyhole Markup Language (KML).</w:t>
      </w:r>
      <w:r>
        <w:rPr>
          <w:rFonts w:ascii="Calibri" w:eastAsia="Calibri" w:hAnsi="Calibri" w:cs="Calibri"/>
        </w:rPr>
        <w:t xml:space="preserve"> </w:t>
      </w:r>
      <w:r w:rsidRPr="000105B8">
        <w:rPr>
          <w:rFonts w:ascii="Calibri" w:eastAsia="Calibri" w:hAnsi="Calibri" w:cs="Calibri"/>
        </w:rPr>
        <w:t>SensorML, WaterML</w:t>
      </w:r>
      <w:r>
        <w:rPr>
          <w:rFonts w:ascii="Calibri" w:eastAsia="Calibri" w:hAnsi="Calibri" w:cs="Calibri"/>
        </w:rPr>
        <w:t>,</w:t>
      </w:r>
      <w:r w:rsidRPr="000105B8">
        <w:rPr>
          <w:rFonts w:ascii="Calibri" w:eastAsia="Calibri" w:hAnsi="Calibri" w:cs="Calibri"/>
        </w:rPr>
        <w:t xml:space="preserve"> and SensorThings API are part of OGC’s Sensor Web Enablement suite (SWE), designed to support the Internet of Things (IoT).</w:t>
      </w:r>
      <w:r>
        <w:rPr>
          <w:rFonts w:ascii="Calibri" w:eastAsia="Calibri" w:hAnsi="Calibri" w:cs="Calibri"/>
        </w:rPr>
        <w:t xml:space="preserve"> </w:t>
      </w:r>
      <w:r w:rsidRPr="000105B8">
        <w:rPr>
          <w:rFonts w:ascii="Calibri" w:eastAsia="Calibri" w:hAnsi="Calibri" w:cs="Calibri"/>
        </w:rPr>
        <w:t>SensorML describes the sensor and metadata around the sensor.</w:t>
      </w:r>
      <w:r>
        <w:rPr>
          <w:rFonts w:ascii="Calibri" w:eastAsia="Calibri" w:hAnsi="Calibri" w:cs="Calibri"/>
        </w:rPr>
        <w:t xml:space="preserve"> </w:t>
      </w:r>
      <w:r w:rsidRPr="000105B8">
        <w:rPr>
          <w:rFonts w:ascii="Calibri" w:eastAsia="Calibri" w:hAnsi="Calibri" w:cs="Calibri"/>
        </w:rPr>
        <w:t xml:space="preserve">WaterML 2 describes the feature being measured and contains the actual measurements. SensorThings API provides a framework to interconnect IoT devices, data, and applications over the Web. </w:t>
      </w:r>
      <w:r>
        <w:rPr>
          <w:rFonts w:ascii="Calibri" w:eastAsia="Calibri" w:hAnsi="Calibri" w:cs="Calibri"/>
        </w:rPr>
        <w:t xml:space="preserve">In addition, </w:t>
      </w:r>
      <w:proofErr w:type="spellStart"/>
      <w:r>
        <w:rPr>
          <w:rFonts w:ascii="Calibri" w:eastAsia="Calibri" w:hAnsi="Calibri" w:cs="Calibri"/>
        </w:rPr>
        <w:t>TimeseriesML</w:t>
      </w:r>
      <w:proofErr w:type="spellEnd"/>
      <w:r>
        <w:rPr>
          <w:rFonts w:ascii="Calibri" w:eastAsia="Calibri" w:hAnsi="Calibri" w:cs="Calibri"/>
        </w:rPr>
        <w:t xml:space="preserve"> is a subset of WaterML 2, supported by SWE, that is specifically designed to support time series data, like that from any sensor.</w:t>
      </w:r>
      <w:r w:rsidR="00B501AB">
        <w:rPr>
          <w:rFonts w:ascii="Calibri" w:eastAsia="Calibri" w:hAnsi="Calibri" w:cs="Calibri"/>
        </w:rPr>
        <w:t xml:space="preserve"> </w:t>
      </w:r>
      <w:hyperlink r:id="rId14" w:history="1">
        <w:r w:rsidR="00B501AB" w:rsidRPr="006B2866">
          <w:rPr>
            <w:rStyle w:val="Hyperlink"/>
            <w:rFonts w:ascii="Calibri" w:eastAsia="Calibri" w:hAnsi="Calibri" w:cs="Calibri"/>
          </w:rPr>
          <w:t>http://www.opengeospatial.org/standards/sensorml</w:t>
        </w:r>
      </w:hyperlink>
      <w:r w:rsidR="00B452CC">
        <w:rPr>
          <w:rFonts w:ascii="Calibri" w:eastAsia="Calibri" w:hAnsi="Calibri" w:cs="Calibri"/>
        </w:rPr>
        <w:t xml:space="preserve">, </w:t>
      </w:r>
      <w:hyperlink r:id="rId15" w:history="1">
        <w:r w:rsidR="00B501AB" w:rsidRPr="006B2866">
          <w:rPr>
            <w:rStyle w:val="Hyperlink"/>
            <w:rFonts w:ascii="Calibri" w:eastAsia="Calibri" w:hAnsi="Calibri" w:cs="Calibri"/>
          </w:rPr>
          <w:t>http://www.opengeospatial.org/standards/waterml</w:t>
        </w:r>
      </w:hyperlink>
    </w:p>
    <w:p w14:paraId="60801C45" w14:textId="045FCAC6" w:rsidR="00B727C4" w:rsidRPr="005C4D97" w:rsidRDefault="00291C52" w:rsidP="00B727C4">
      <w:pPr>
        <w:rPr>
          <w:rFonts w:ascii="Calibri" w:eastAsia="Calibri" w:hAnsi="Calibri" w:cs="Calibri"/>
        </w:rPr>
      </w:pPr>
      <w:r>
        <w:rPr>
          <w:rFonts w:ascii="Calibri" w:eastAsia="Calibri" w:hAnsi="Calibri" w:cs="Calibri"/>
          <w:b/>
          <w:bCs/>
        </w:rPr>
        <w:t>OGC</w:t>
      </w:r>
      <w:r w:rsidR="00B727C4">
        <w:rPr>
          <w:rFonts w:ascii="Calibri" w:eastAsia="Calibri" w:hAnsi="Calibri" w:cs="Calibri"/>
          <w:b/>
          <w:bCs/>
        </w:rPr>
        <w:t xml:space="preserve"> </w:t>
      </w:r>
      <w:r w:rsidR="005A379C">
        <w:rPr>
          <w:rFonts w:ascii="Calibri" w:eastAsia="Calibri" w:hAnsi="Calibri" w:cs="Calibri"/>
          <w:b/>
          <w:bCs/>
        </w:rPr>
        <w:t>O&amp;M/</w:t>
      </w:r>
      <w:proofErr w:type="spellStart"/>
      <w:r w:rsidR="00B727C4" w:rsidRPr="005C4D97">
        <w:rPr>
          <w:rFonts w:ascii="Calibri" w:eastAsia="Calibri" w:hAnsi="Calibri" w:cs="Calibri"/>
          <w:b/>
          <w:bCs/>
        </w:rPr>
        <w:t>SensorThingsAPI</w:t>
      </w:r>
      <w:proofErr w:type="spellEnd"/>
    </w:p>
    <w:p w14:paraId="2DC97F26" w14:textId="2FFF9AAC" w:rsidR="00B727C4" w:rsidRPr="00291C52" w:rsidRDefault="00BB13A0" w:rsidP="00B727C4">
      <w:pPr>
        <w:rPr>
          <w:rFonts w:ascii="Calibri" w:eastAsia="Calibri" w:hAnsi="Calibri" w:cs="Calibri"/>
        </w:rPr>
      </w:pPr>
      <w:r w:rsidRPr="00A21B87">
        <w:rPr>
          <w:rFonts w:ascii="Calibri" w:eastAsia="Calibri" w:hAnsi="Calibri" w:cs="Calibri"/>
        </w:rPr>
        <w:t xml:space="preserve">The data standard utilized by SensorThings API is OGC’s Observations and Measurements (O&amp;M), which is used widely.  </w:t>
      </w:r>
      <w:r w:rsidR="00B727C4" w:rsidRPr="4AC4243B">
        <w:rPr>
          <w:rFonts w:ascii="Calibri" w:eastAsia="Calibri" w:hAnsi="Calibri" w:cs="Calibri"/>
        </w:rPr>
        <w:t xml:space="preserve">SensorThings API is an OGC standard that </w:t>
      </w:r>
      <w:r w:rsidR="00B727C4" w:rsidRPr="4AC4243B">
        <w:rPr>
          <w:rFonts w:ascii="Calibri" w:eastAsia="Calibri" w:hAnsi="Calibri" w:cs="Calibri"/>
          <w:lang w:val="en"/>
        </w:rPr>
        <w:t xml:space="preserve">provides ways to communicate sensor locations, sensor and data parameters and sensor instruction sets. The standard is </w:t>
      </w:r>
      <w:r w:rsidR="00B727C4" w:rsidRPr="4AC4243B">
        <w:rPr>
          <w:rFonts w:ascii="Calibri" w:eastAsia="Calibri" w:hAnsi="Calibri" w:cs="Calibri"/>
        </w:rPr>
        <w:t>open and it applies a</w:t>
      </w:r>
      <w:r w:rsidR="0056260A" w:rsidRPr="00A21B87">
        <w:rPr>
          <w:rFonts w:ascii="Calibri" w:eastAsia="Calibri" w:hAnsi="Calibri" w:cs="Calibri"/>
        </w:rPr>
        <w:t xml:space="preserve">n easy-to-use REST-like style.  This communication standard </w:t>
      </w:r>
      <w:r w:rsidR="00B727C4" w:rsidRPr="4AC4243B">
        <w:rPr>
          <w:rFonts w:ascii="Calibri" w:eastAsia="Calibri" w:hAnsi="Calibri" w:cs="Calibri"/>
        </w:rPr>
        <w:t xml:space="preserve">is relatively new </w:t>
      </w:r>
      <w:r w:rsidR="0056260A" w:rsidRPr="00A21B87">
        <w:rPr>
          <w:rFonts w:ascii="Calibri" w:eastAsia="Calibri" w:hAnsi="Calibri" w:cs="Calibri"/>
        </w:rPr>
        <w:t>with only a</w:t>
      </w:r>
      <w:r w:rsidR="00B727C4" w:rsidRPr="4AC4243B">
        <w:rPr>
          <w:rFonts w:ascii="Calibri" w:eastAsia="Calibri" w:hAnsi="Calibri" w:cs="Calibri"/>
        </w:rPr>
        <w:t xml:space="preserve"> few organizations, such as the University of Calgary, </w:t>
      </w:r>
      <w:r w:rsidR="0056260A" w:rsidRPr="4AC4243B">
        <w:rPr>
          <w:rFonts w:ascii="Calibri" w:eastAsia="Calibri" w:hAnsi="Calibri" w:cs="Calibri"/>
        </w:rPr>
        <w:t>having implemented it, although it is beginning to proliferate more widely as of the writing of this report.</w:t>
      </w:r>
      <w:r w:rsidR="00A11F9C">
        <w:rPr>
          <w:rFonts w:ascii="Calibri" w:eastAsia="Calibri" w:hAnsi="Calibri" w:cs="Calibri"/>
        </w:rPr>
        <w:t xml:space="preserve"> </w:t>
      </w:r>
      <w:r w:rsidR="00A11F9C" w:rsidRPr="4AC4243B">
        <w:t>There are at least eight independent</w:t>
      </w:r>
      <w:r w:rsidR="00C93D47" w:rsidRPr="4AC4243B">
        <w:t xml:space="preserve"> software</w:t>
      </w:r>
      <w:r w:rsidR="00A11F9C" w:rsidRPr="4AC4243B">
        <w:t xml:space="preserve"> implementations of SensorThings API, including both open source and commercial systems.</w:t>
      </w:r>
      <w:r w:rsidR="00B501AB">
        <w:t xml:space="preserve"> </w:t>
      </w:r>
      <w:hyperlink r:id="rId16" w:history="1">
        <w:r w:rsidR="00B501AB" w:rsidRPr="006B2866">
          <w:rPr>
            <w:rStyle w:val="Hyperlink"/>
          </w:rPr>
          <w:t>http://www.opengeospatial.org/stan</w:t>
        </w:r>
        <w:r w:rsidR="00B501AB" w:rsidRPr="006B2866">
          <w:rPr>
            <w:rStyle w:val="Hyperlink"/>
          </w:rPr>
          <w:t>d</w:t>
        </w:r>
        <w:r w:rsidR="00B501AB" w:rsidRPr="006B2866">
          <w:rPr>
            <w:rStyle w:val="Hyperlink"/>
          </w:rPr>
          <w:t>ards/om</w:t>
        </w:r>
      </w:hyperlink>
      <w:r w:rsidR="00C614B7">
        <w:t xml:space="preserve">, </w:t>
      </w:r>
      <w:hyperlink r:id="rId17" w:history="1">
        <w:r w:rsidR="00B501AB" w:rsidRPr="006B2866">
          <w:rPr>
            <w:rStyle w:val="Hyperlink"/>
          </w:rPr>
          <w:t>http://www.open</w:t>
        </w:r>
        <w:r w:rsidR="00B501AB" w:rsidRPr="006B2866">
          <w:rPr>
            <w:rStyle w:val="Hyperlink"/>
          </w:rPr>
          <w:t>g</w:t>
        </w:r>
        <w:r w:rsidR="00B501AB" w:rsidRPr="006B2866">
          <w:rPr>
            <w:rStyle w:val="Hyperlink"/>
          </w:rPr>
          <w:t>eospatial.org/standards/sensorthings</w:t>
        </w:r>
      </w:hyperlink>
      <w:r w:rsidR="00B501AB">
        <w:t xml:space="preserve"> </w:t>
      </w:r>
    </w:p>
    <w:p w14:paraId="261FA6DA" w14:textId="7DCD1A2F" w:rsidR="00B727C4" w:rsidRDefault="00B727C4" w:rsidP="00B727C4">
      <w:r w:rsidRPr="00E410D0">
        <w:rPr>
          <w:rFonts w:ascii="Calibri" w:eastAsia="Calibri" w:hAnsi="Calibri" w:cs="Calibri"/>
          <w:b/>
          <w:bCs/>
        </w:rPr>
        <w:t>NetCDF</w:t>
      </w:r>
      <w:r w:rsidR="005A379C">
        <w:rPr>
          <w:rFonts w:ascii="Calibri" w:eastAsia="Calibri" w:hAnsi="Calibri" w:cs="Calibri"/>
          <w:b/>
          <w:bCs/>
        </w:rPr>
        <w:t>/CF</w:t>
      </w:r>
    </w:p>
    <w:p w14:paraId="7153C12A" w14:textId="0B50A98F" w:rsidR="002D0BAF" w:rsidRPr="00F304DD" w:rsidRDefault="00B727C4" w:rsidP="4AC4243B">
      <w:r w:rsidRPr="00E410D0">
        <w:rPr>
          <w:rFonts w:ascii="Calibri" w:eastAsia="Calibri" w:hAnsi="Calibri" w:cs="Calibri"/>
        </w:rPr>
        <w:t>The Network Common Data Format (NetCDF) (UCAR, 2017) was developed by the University Corporation for Atmospheric Research</w:t>
      </w:r>
      <w:r>
        <w:rPr>
          <w:rFonts w:ascii="Calibri" w:eastAsia="Calibri" w:hAnsi="Calibri" w:cs="Calibri"/>
        </w:rPr>
        <w:t xml:space="preserve"> and endorsed by the OGC</w:t>
      </w:r>
      <w:r w:rsidRPr="00E410D0">
        <w:rPr>
          <w:rFonts w:ascii="Calibri" w:eastAsia="Calibri" w:hAnsi="Calibri" w:cs="Calibri"/>
        </w:rPr>
        <w:t>.</w:t>
      </w:r>
      <w:r>
        <w:rPr>
          <w:rFonts w:ascii="Calibri" w:eastAsia="Calibri" w:hAnsi="Calibri" w:cs="Calibri"/>
        </w:rPr>
        <w:t xml:space="preserve"> </w:t>
      </w:r>
      <w:r w:rsidRPr="00E410D0">
        <w:rPr>
          <w:rFonts w:ascii="Calibri" w:eastAsia="Calibri" w:hAnsi="Calibri" w:cs="Calibri"/>
        </w:rPr>
        <w:t>It is used extensively by NOAA, USGS, and NASA for archiving datasets for later discovery and for sharing data among researchers.</w:t>
      </w:r>
      <w:r>
        <w:rPr>
          <w:rFonts w:ascii="Calibri" w:eastAsia="Calibri" w:hAnsi="Calibri" w:cs="Calibri"/>
        </w:rPr>
        <w:t xml:space="preserve"> </w:t>
      </w:r>
      <w:r w:rsidRPr="00E410D0">
        <w:rPr>
          <w:rFonts w:ascii="Calibri" w:eastAsia="Calibri" w:hAnsi="Calibri" w:cs="Calibri"/>
        </w:rPr>
        <w:t xml:space="preserve">Data contained in NetCDF format are self-describing and can be accessed using </w:t>
      </w:r>
      <w:proofErr w:type="gramStart"/>
      <w:r w:rsidRPr="00E410D0">
        <w:rPr>
          <w:rFonts w:ascii="Calibri" w:eastAsia="Calibri" w:hAnsi="Calibri" w:cs="Calibri"/>
        </w:rPr>
        <w:t>a number of</w:t>
      </w:r>
      <w:proofErr w:type="gramEnd"/>
      <w:r w:rsidRPr="00E410D0">
        <w:rPr>
          <w:rFonts w:ascii="Calibri" w:eastAsia="Calibri" w:hAnsi="Calibri" w:cs="Calibri"/>
        </w:rPr>
        <w:t xml:space="preserve"> open-source platforms.</w:t>
      </w:r>
      <w:r>
        <w:rPr>
          <w:rFonts w:ascii="Calibri" w:eastAsia="Calibri" w:hAnsi="Calibri" w:cs="Calibri"/>
        </w:rPr>
        <w:t xml:space="preserve"> NetCDF files are often used in conjunction with documented Climate and Forecast ‘CF’ metadata standards/conventions that are tailored to different data types. NetCDF</w:t>
      </w:r>
      <w:r w:rsidRPr="00E410D0">
        <w:rPr>
          <w:rFonts w:ascii="Calibri" w:eastAsia="Calibri" w:hAnsi="Calibri" w:cs="Calibri"/>
        </w:rPr>
        <w:t xml:space="preserve"> is often used to publish/share gridded data sets (i.e. raster data), but can also share large collections of sensor data.</w:t>
      </w:r>
      <w:r>
        <w:rPr>
          <w:rFonts w:ascii="Calibri" w:eastAsia="Calibri" w:hAnsi="Calibri" w:cs="Calibri"/>
        </w:rPr>
        <w:t xml:space="preserve"> Open source software, DAP, has been developed and widely used by NOAA and their regional partners to interface with data available in NetCDF formats. </w:t>
      </w:r>
      <w:proofErr w:type="spellStart"/>
      <w:r>
        <w:rPr>
          <w:rFonts w:ascii="Calibri" w:eastAsia="Calibri" w:hAnsi="Calibri" w:cs="Calibri"/>
        </w:rPr>
        <w:t>OPenDAP</w:t>
      </w:r>
      <w:proofErr w:type="spellEnd"/>
      <w:r>
        <w:rPr>
          <w:rFonts w:ascii="Calibri" w:eastAsia="Calibri" w:hAnsi="Calibri" w:cs="Calibri"/>
        </w:rPr>
        <w:t xml:space="preserve"> software implementations ERRDAP and THREDDS, allow users to query, view, and download data from NetCDF files distributed throughout platform users’ databases. </w:t>
      </w:r>
      <w:hyperlink r:id="rId18" w:history="1">
        <w:r w:rsidR="00693CFE" w:rsidRPr="001D576E">
          <w:rPr>
            <w:rStyle w:val="Hyperlink"/>
          </w:rPr>
          <w:t>http://www.iooc.us/ocean-observations/data-management/</w:t>
        </w:r>
      </w:hyperlink>
      <w:r w:rsidR="00693CFE">
        <w:rPr>
          <w:rStyle w:val="Hyperlink"/>
        </w:rPr>
        <w:t xml:space="preserve"> </w:t>
      </w:r>
      <w:hyperlink r:id="rId19" w:history="1">
        <w:r w:rsidR="002D0BAF" w:rsidRPr="001D576E">
          <w:rPr>
            <w:rStyle w:val="Hyperlink"/>
          </w:rPr>
          <w:t>https://www.unidata.ucar.edu/software/netcdf/</w:t>
        </w:r>
      </w:hyperlink>
    </w:p>
    <w:p w14:paraId="622478CB" w14:textId="6F24C984" w:rsidR="00B727C4" w:rsidRDefault="00B727C4" w:rsidP="4AC4243B">
      <w:r w:rsidRPr="00E410D0">
        <w:rPr>
          <w:rFonts w:ascii="Calibri" w:eastAsia="Calibri" w:hAnsi="Calibri" w:cs="Calibri"/>
          <w:b/>
          <w:bCs/>
        </w:rPr>
        <w:t>WQX</w:t>
      </w:r>
    </w:p>
    <w:p w14:paraId="2C3AF7BD" w14:textId="3E08CB3B" w:rsidR="00B727C4" w:rsidRDefault="00B727C4" w:rsidP="00B727C4">
      <w:pPr>
        <w:rPr>
          <w:rFonts w:ascii="Calibri" w:eastAsia="Calibri" w:hAnsi="Calibri" w:cs="Calibri"/>
        </w:rPr>
      </w:pPr>
      <w:r w:rsidRPr="00E410D0">
        <w:rPr>
          <w:rFonts w:ascii="Calibri" w:eastAsia="Calibri" w:hAnsi="Calibri" w:cs="Calibri"/>
        </w:rPr>
        <w:t>The Water Quality Exchange (WQX) (EPA, 2017) was developed by EPA to enable the sharing of water quality sampling data between o</w:t>
      </w:r>
      <w:r w:rsidR="004A4FFB">
        <w:rPr>
          <w:rFonts w:ascii="Calibri" w:eastAsia="Calibri" w:hAnsi="Calibri" w:cs="Calibri"/>
        </w:rPr>
        <w:t>ther federal agencies, states, T</w:t>
      </w:r>
      <w:r w:rsidRPr="00E410D0">
        <w:rPr>
          <w:rFonts w:ascii="Calibri" w:eastAsia="Calibri" w:hAnsi="Calibri" w:cs="Calibri"/>
        </w:rPr>
        <w:t>ribes, and watershed groups.</w:t>
      </w:r>
      <w:r>
        <w:rPr>
          <w:rFonts w:ascii="Calibri" w:eastAsia="Calibri" w:hAnsi="Calibri" w:cs="Calibri"/>
        </w:rPr>
        <w:t xml:space="preserve"> </w:t>
      </w:r>
      <w:r w:rsidRPr="00E410D0">
        <w:rPr>
          <w:rFonts w:ascii="Calibri" w:eastAsia="Calibri" w:hAnsi="Calibri" w:cs="Calibri"/>
        </w:rPr>
        <w:t xml:space="preserve">It provides a complete metadata profile for describing data quality and the methods used to collect and analyze the </w:t>
      </w:r>
      <w:r w:rsidRPr="00E410D0">
        <w:rPr>
          <w:rFonts w:ascii="Calibri" w:eastAsia="Calibri" w:hAnsi="Calibri" w:cs="Calibri"/>
        </w:rPr>
        <w:lastRenderedPageBreak/>
        <w:t>data.</w:t>
      </w:r>
      <w:r>
        <w:rPr>
          <w:rFonts w:ascii="Calibri" w:eastAsia="Calibri" w:hAnsi="Calibri" w:cs="Calibri"/>
        </w:rPr>
        <w:t xml:space="preserve"> </w:t>
      </w:r>
      <w:r w:rsidRPr="00E410D0">
        <w:rPr>
          <w:rFonts w:ascii="Calibri" w:eastAsia="Calibri" w:hAnsi="Calibri" w:cs="Calibri"/>
        </w:rPr>
        <w:t>It is occasionally used to share sensor data, but because the data model is designed for sample data, it is not an efficient model for sharing sensor data.</w:t>
      </w:r>
      <w:r>
        <w:rPr>
          <w:rFonts w:ascii="Calibri" w:eastAsia="Calibri" w:hAnsi="Calibri" w:cs="Calibri"/>
        </w:rPr>
        <w:t xml:space="preserve"> </w:t>
      </w:r>
      <w:r w:rsidRPr="00E410D0">
        <w:rPr>
          <w:rFonts w:ascii="Calibri" w:eastAsia="Calibri" w:hAnsi="Calibri" w:cs="Calibri"/>
        </w:rPr>
        <w:t xml:space="preserve">EPA’s current recommendations for sensor data is that partners summarize the data into daily averages, and then share the averages instead of the incremental measurements. </w:t>
      </w:r>
    </w:p>
    <w:p w14:paraId="6D3EC807" w14:textId="77777777" w:rsidR="00B727C4" w:rsidRPr="00A21B87" w:rsidRDefault="00B727C4">
      <w:pPr>
        <w:rPr>
          <w:rFonts w:eastAsia="Verdana"/>
          <w:color w:val="000000" w:themeColor="text1"/>
        </w:rPr>
      </w:pPr>
      <w:r w:rsidRPr="008F5C96">
        <w:rPr>
          <w:rFonts w:eastAsia="Verdana"/>
          <w:color w:val="000000" w:themeColor="text1"/>
        </w:rPr>
        <w:t>For water quality, WQX (Water Quality Exchange) is a data standard for submitting water data into EPA’s STORET (Storage and Retrieval) system, primarily generated via discrete sampling. Prior to submitting data, an entity needs to follow the data standard for submission. Meaning all required fields, parameter and un</w:t>
      </w:r>
      <w:r w:rsidRPr="00A21B87">
        <w:rPr>
          <w:rFonts w:eastAsia="Verdana"/>
          <w:color w:val="000000" w:themeColor="text1"/>
        </w:rPr>
        <w:t>it naming conventions, must be part of the data submission to successfully upload data into STORET.</w:t>
      </w:r>
    </w:p>
    <w:p w14:paraId="1C8CA17E" w14:textId="38E011BC" w:rsidR="00B727C4" w:rsidRDefault="00B727C4">
      <w:pPr>
        <w:rPr>
          <w:rFonts w:eastAsia="Verdana"/>
          <w:color w:val="000000" w:themeColor="text1"/>
        </w:rPr>
      </w:pPr>
      <w:r w:rsidRPr="008F5C96">
        <w:rPr>
          <w:rFonts w:eastAsia="Verdana"/>
          <w:color w:val="000000" w:themeColor="text1"/>
        </w:rPr>
        <w:t>For this upload to happen, a series of complicated technology-based procedures need to occur. Data submissions to STORET can occur through state nodes, node</w:t>
      </w:r>
      <w:r w:rsidRPr="00A21B87">
        <w:rPr>
          <w:rFonts w:eastAsia="Verdana"/>
          <w:color w:val="000000" w:themeColor="text1"/>
        </w:rPr>
        <w:t xml:space="preserve"> clients, or a lighter based tool called WQX web. What all three have in common is file transfers are handled through XML code. Text files are converted to XML code so that the individual parts of the file containing information can successfully populate an underlying database. The communication standard is all about the flow of the data and the mechanisms in place to make that happen.</w:t>
      </w:r>
      <w:r w:rsidR="00BE6C3E">
        <w:rPr>
          <w:rFonts w:eastAsia="Verdana"/>
          <w:color w:val="000000" w:themeColor="text1"/>
        </w:rPr>
        <w:t xml:space="preserve"> </w:t>
      </w:r>
      <w:hyperlink r:id="rId20" w:history="1">
        <w:r w:rsidR="00BE6C3E" w:rsidRPr="00733881">
          <w:rPr>
            <w:rStyle w:val="Hyperlink"/>
            <w:rFonts w:eastAsia="Verdana"/>
          </w:rPr>
          <w:t>https://www.epa.gov/waterdata/water-quality-data-wqx</w:t>
        </w:r>
      </w:hyperlink>
    </w:p>
    <w:p w14:paraId="5A1C1672" w14:textId="77777777" w:rsidR="00B727C4" w:rsidRDefault="00B727C4" w:rsidP="00B727C4">
      <w:proofErr w:type="spellStart"/>
      <w:r w:rsidRPr="00E410D0">
        <w:rPr>
          <w:rFonts w:ascii="Calibri" w:eastAsia="Calibri" w:hAnsi="Calibri" w:cs="Calibri"/>
          <w:b/>
          <w:bCs/>
        </w:rPr>
        <w:t>WaterOneFlow</w:t>
      </w:r>
      <w:proofErr w:type="spellEnd"/>
      <w:r w:rsidRPr="00E410D0">
        <w:rPr>
          <w:rFonts w:ascii="Calibri" w:eastAsia="Calibri" w:hAnsi="Calibri" w:cs="Calibri"/>
          <w:b/>
          <w:bCs/>
        </w:rPr>
        <w:t>/WaterML</w:t>
      </w:r>
      <w:r>
        <w:rPr>
          <w:rFonts w:ascii="Calibri" w:eastAsia="Calibri" w:hAnsi="Calibri" w:cs="Calibri"/>
          <w:b/>
          <w:bCs/>
        </w:rPr>
        <w:t xml:space="preserve"> 2</w:t>
      </w:r>
    </w:p>
    <w:p w14:paraId="0295EBAF" w14:textId="7330B04E" w:rsidR="00B727C4" w:rsidRDefault="00B727C4" w:rsidP="00B727C4">
      <w:pPr>
        <w:rPr>
          <w:rFonts w:ascii="Calibri" w:eastAsia="Calibri" w:hAnsi="Calibri" w:cs="Calibri"/>
        </w:rPr>
      </w:pPr>
      <w:r w:rsidRPr="00E410D0">
        <w:rPr>
          <w:rFonts w:ascii="Calibri" w:eastAsia="Calibri" w:hAnsi="Calibri" w:cs="Calibri"/>
        </w:rPr>
        <w:t xml:space="preserve">The Consortium of Universities for the Advancement of Hydrologic Science, Inc. (CUAHSI) developed </w:t>
      </w:r>
      <w:r w:rsidRPr="000105B8">
        <w:rPr>
          <w:rFonts w:ascii="Calibri" w:eastAsia="Calibri" w:hAnsi="Calibri" w:cs="Calibri"/>
        </w:rPr>
        <w:t xml:space="preserve">a family of </w:t>
      </w:r>
      <w:r w:rsidRPr="00E410D0">
        <w:rPr>
          <w:rFonts w:ascii="Calibri" w:eastAsia="Calibri" w:hAnsi="Calibri" w:cs="Calibri"/>
        </w:rPr>
        <w:t xml:space="preserve">the </w:t>
      </w:r>
      <w:r w:rsidRPr="000105B8">
        <w:rPr>
          <w:rFonts w:ascii="Calibri" w:eastAsia="Calibri" w:hAnsi="Calibri" w:cs="Calibri"/>
        </w:rPr>
        <w:t xml:space="preserve">Web services called </w:t>
      </w:r>
      <w:proofErr w:type="spellStart"/>
      <w:r w:rsidRPr="00E410D0">
        <w:rPr>
          <w:rFonts w:ascii="Calibri" w:eastAsia="Calibri" w:hAnsi="Calibri" w:cs="Calibri"/>
        </w:rPr>
        <w:t>WaterOneFlow</w:t>
      </w:r>
      <w:proofErr w:type="spellEnd"/>
      <w:r w:rsidRPr="00E410D0">
        <w:rPr>
          <w:rFonts w:ascii="Calibri" w:eastAsia="Calibri" w:hAnsi="Calibri" w:cs="Calibri"/>
        </w:rPr>
        <w:t xml:space="preserve"> to enable the sharing of water data between multiple entities</w:t>
      </w:r>
      <w:r>
        <w:rPr>
          <w:rFonts w:ascii="Calibri" w:eastAsia="Calibri" w:hAnsi="Calibri" w:cs="Calibri"/>
        </w:rPr>
        <w:t xml:space="preserve"> </w:t>
      </w:r>
      <w:r w:rsidRPr="00E410D0">
        <w:rPr>
          <w:rFonts w:ascii="Calibri" w:eastAsia="Calibri" w:hAnsi="Calibri" w:cs="Calibri"/>
        </w:rPr>
        <w:t xml:space="preserve">(CUAHSI, 2017). </w:t>
      </w:r>
      <w:r w:rsidRPr="000105B8">
        <w:rPr>
          <w:rFonts w:ascii="Calibri" w:eastAsia="Calibri" w:hAnsi="Calibri" w:cs="Calibri"/>
        </w:rPr>
        <w:t>These standards predate the OGC standards and served as starting point for the development of the current</w:t>
      </w:r>
      <w:r w:rsidRPr="00E410D0">
        <w:rPr>
          <w:rFonts w:ascii="Calibri" w:eastAsia="Calibri" w:hAnsi="Calibri" w:cs="Calibri"/>
        </w:rPr>
        <w:t xml:space="preserve"> WaterML 2 OGC standard.</w:t>
      </w:r>
      <w:r>
        <w:rPr>
          <w:rFonts w:ascii="Calibri" w:eastAsia="Calibri" w:hAnsi="Calibri" w:cs="Calibri"/>
        </w:rPr>
        <w:t xml:space="preserve"> </w:t>
      </w:r>
      <w:r w:rsidRPr="00E410D0">
        <w:rPr>
          <w:rFonts w:ascii="Calibri" w:eastAsia="Calibri" w:hAnsi="Calibri" w:cs="Calibri"/>
        </w:rPr>
        <w:t>These standards are used broadly by the academic community, and there is a large open-source community that is developing tools and applications to work with data in these formats.</w:t>
      </w:r>
      <w:r w:rsidR="00B501AB">
        <w:rPr>
          <w:rFonts w:ascii="Calibri" w:eastAsia="Calibri" w:hAnsi="Calibri" w:cs="Calibri"/>
        </w:rPr>
        <w:t xml:space="preserve"> </w:t>
      </w:r>
      <w:hyperlink r:id="rId21" w:history="1">
        <w:r w:rsidR="00B501AB" w:rsidRPr="006B2866">
          <w:rPr>
            <w:rStyle w:val="Hyperlink"/>
            <w:rFonts w:ascii="Calibri" w:eastAsia="Calibri" w:hAnsi="Calibri" w:cs="Calibri"/>
          </w:rPr>
          <w:t>http://his.cuahsi.org/wofws.html</w:t>
        </w:r>
      </w:hyperlink>
    </w:p>
    <w:p w14:paraId="4C7F4B00" w14:textId="77777777" w:rsidR="00B727C4" w:rsidRDefault="00B727C4" w:rsidP="4AC4243B">
      <w:r w:rsidRPr="00E410D0">
        <w:rPr>
          <w:rFonts w:ascii="Calibri" w:eastAsia="Calibri" w:hAnsi="Calibri" w:cs="Calibri"/>
          <w:b/>
          <w:bCs/>
        </w:rPr>
        <w:t>VIPER</w:t>
      </w:r>
    </w:p>
    <w:p w14:paraId="56C2CFB7" w14:textId="57CEC86C" w:rsidR="00B501AB" w:rsidRPr="00F304DD" w:rsidRDefault="00B727C4" w:rsidP="4AC4243B">
      <w:pPr>
        <w:rPr>
          <w:rFonts w:ascii="Calibri" w:eastAsia="Calibri" w:hAnsi="Calibri" w:cs="Calibri"/>
        </w:rPr>
      </w:pPr>
      <w:r w:rsidRPr="00E410D0">
        <w:rPr>
          <w:rFonts w:ascii="Calibri" w:eastAsia="Calibri" w:hAnsi="Calibri" w:cs="Calibri"/>
        </w:rPr>
        <w:t>VIPER (EPA Emergency Response Team, 2017)</w:t>
      </w:r>
      <w:r>
        <w:rPr>
          <w:rFonts w:ascii="Calibri" w:eastAsia="Calibri" w:hAnsi="Calibri" w:cs="Calibri"/>
        </w:rPr>
        <w:t xml:space="preserve"> </w:t>
      </w:r>
      <w:r w:rsidRPr="00E410D0">
        <w:rPr>
          <w:rFonts w:ascii="Calibri" w:eastAsia="Calibri" w:hAnsi="Calibri" w:cs="Calibri"/>
        </w:rPr>
        <w:t>is a custom protocol used by EPA’s Emergency Response Team to enable the management of real-time data collected during emergency response.</w:t>
      </w:r>
      <w:r>
        <w:rPr>
          <w:rFonts w:ascii="Calibri" w:eastAsia="Calibri" w:hAnsi="Calibri" w:cs="Calibri"/>
        </w:rPr>
        <w:t xml:space="preserve"> </w:t>
      </w:r>
      <w:r w:rsidRPr="00E410D0">
        <w:rPr>
          <w:rFonts w:ascii="Calibri" w:eastAsia="Calibri" w:hAnsi="Calibri" w:cs="Calibri"/>
        </w:rPr>
        <w:t>The VIPER protocol enables data to be transmitted from the sensors in the field back to a SQL Server database where the data can then be published, shared, and visualized.</w:t>
      </w:r>
      <w:r w:rsidR="00B501AB" w:rsidRPr="00B501AB">
        <w:t xml:space="preserve"> </w:t>
      </w:r>
      <w:hyperlink r:id="rId22" w:history="1">
        <w:r w:rsidR="00B501AB" w:rsidRPr="006B2866">
          <w:rPr>
            <w:rStyle w:val="Hyperlink"/>
            <w:rFonts w:ascii="Calibri" w:eastAsia="Calibri" w:hAnsi="Calibri" w:cs="Calibri"/>
          </w:rPr>
          <w:t>https://response.epa.gov/site/site_profile.aspx?site_id=5033</w:t>
        </w:r>
      </w:hyperlink>
    </w:p>
    <w:p w14:paraId="57C6289D" w14:textId="77777777" w:rsidR="00B727C4" w:rsidRPr="0043445D" w:rsidRDefault="00B727C4" w:rsidP="00B727C4">
      <w:pPr>
        <w:pStyle w:val="ListParagraph"/>
        <w:ind w:left="0"/>
        <w:rPr>
          <w:b/>
          <w:bCs/>
        </w:rPr>
      </w:pPr>
      <w:r w:rsidRPr="0043445D">
        <w:rPr>
          <w:b/>
          <w:bCs/>
        </w:rPr>
        <w:t>AQS</w:t>
      </w:r>
    </w:p>
    <w:p w14:paraId="6810F54F" w14:textId="77777777" w:rsidR="00B727C4" w:rsidRDefault="00B727C4" w:rsidP="4AC4243B">
      <w:pPr>
        <w:jc w:val="both"/>
      </w:pPr>
      <w:r w:rsidRPr="005C4D97">
        <w:rPr>
          <w:rFonts w:ascii="Calibri" w:eastAsia="Calibri" w:hAnsi="Calibri" w:cs="Calibri"/>
        </w:rPr>
        <w:t>The Air Quality System (AQS) houses the official, regulatory ambient air quality data for the US Environmental Protection Agency (EPA).</w:t>
      </w:r>
      <w:r>
        <w:rPr>
          <w:rFonts w:ascii="Calibri" w:eastAsia="Calibri" w:hAnsi="Calibri" w:cs="Calibri"/>
        </w:rPr>
        <w:t xml:space="preserve"> </w:t>
      </w:r>
      <w:r w:rsidRPr="005C4D97">
        <w:rPr>
          <w:rFonts w:ascii="Calibri" w:eastAsia="Calibri" w:hAnsi="Calibri" w:cs="Calibri"/>
        </w:rPr>
        <w:t>Air quality measurements from thousands of monitoring stations around the country, spanning many decades, can be accessed there.</w:t>
      </w:r>
      <w:r>
        <w:rPr>
          <w:rFonts w:ascii="Calibri" w:eastAsia="Calibri" w:hAnsi="Calibri" w:cs="Calibri"/>
        </w:rPr>
        <w:t xml:space="preserve"> </w:t>
      </w:r>
      <w:r w:rsidRPr="005C4D97">
        <w:rPr>
          <w:rFonts w:ascii="Calibri" w:eastAsia="Calibri" w:hAnsi="Calibri" w:cs="Calibri"/>
        </w:rPr>
        <w:t xml:space="preserve"> AQS also serves as the ongoing repository for ambient monitoring networks.</w:t>
      </w:r>
      <w:r>
        <w:rPr>
          <w:rFonts w:ascii="Calibri" w:eastAsia="Calibri" w:hAnsi="Calibri" w:cs="Calibri"/>
        </w:rPr>
        <w:t xml:space="preserve"> </w:t>
      </w:r>
    </w:p>
    <w:p w14:paraId="6D9FD594" w14:textId="75BD71C5" w:rsidR="00B727C4" w:rsidRDefault="00B727C4" w:rsidP="4AC4243B">
      <w:pPr>
        <w:jc w:val="both"/>
      </w:pPr>
      <w:r w:rsidRPr="005C4D97">
        <w:rPr>
          <w:rFonts w:ascii="Calibri" w:eastAsia="Calibri" w:hAnsi="Calibri" w:cs="Calibri"/>
        </w:rPr>
        <w:t>Data reaches AQS from monitoring networks</w:t>
      </w:r>
      <w:r w:rsidR="00AC284C">
        <w:rPr>
          <w:rFonts w:ascii="Calibri" w:eastAsia="Calibri" w:hAnsi="Calibri" w:cs="Calibri"/>
        </w:rPr>
        <w:t xml:space="preserve"> operated by state, local, and T</w:t>
      </w:r>
      <w:r w:rsidRPr="005C4D97">
        <w:rPr>
          <w:rFonts w:ascii="Calibri" w:eastAsia="Calibri" w:hAnsi="Calibri" w:cs="Calibri"/>
        </w:rPr>
        <w:t>ribal agencies.</w:t>
      </w:r>
      <w:r>
        <w:rPr>
          <w:rFonts w:ascii="Calibri" w:eastAsia="Calibri" w:hAnsi="Calibri" w:cs="Calibri"/>
        </w:rPr>
        <w:t xml:space="preserve"> </w:t>
      </w:r>
      <w:r w:rsidRPr="005C4D97">
        <w:rPr>
          <w:rFonts w:ascii="Calibri" w:eastAsia="Calibri" w:hAnsi="Calibri" w:cs="Calibri"/>
        </w:rPr>
        <w:t>Those agencies use the AQS XML schema as the primary data flow for data submission to EPA.</w:t>
      </w:r>
      <w:r>
        <w:rPr>
          <w:rFonts w:ascii="Calibri" w:eastAsia="Calibri" w:hAnsi="Calibri" w:cs="Calibri"/>
        </w:rPr>
        <w:t xml:space="preserve"> </w:t>
      </w:r>
      <w:r w:rsidRPr="005C4D97">
        <w:rPr>
          <w:rFonts w:ascii="Calibri" w:eastAsia="Calibri" w:hAnsi="Calibri" w:cs="Calibri"/>
        </w:rPr>
        <w:t>Other submitters include Tribal consortia, other Federal agencies, analytical laboratories, and contractors.</w:t>
      </w:r>
    </w:p>
    <w:p w14:paraId="27D16E9A" w14:textId="77777777" w:rsidR="00B727C4" w:rsidRDefault="00B727C4" w:rsidP="4AC4243B">
      <w:pPr>
        <w:jc w:val="both"/>
      </w:pPr>
      <w:r w:rsidRPr="005C4D97">
        <w:rPr>
          <w:rFonts w:ascii="Calibri" w:eastAsia="Calibri" w:hAnsi="Calibri" w:cs="Calibri"/>
        </w:rPr>
        <w:t>AQS’s primary purpose is to support EPA’s regulatory mission, by hosting ambient air quality monitoring data that determines compliance with the Clean Air Act and amendments.</w:t>
      </w:r>
      <w:r>
        <w:rPr>
          <w:rFonts w:ascii="Calibri" w:eastAsia="Calibri" w:hAnsi="Calibri" w:cs="Calibri"/>
        </w:rPr>
        <w:t xml:space="preserve"> </w:t>
      </w:r>
      <w:r w:rsidRPr="005C4D97">
        <w:rPr>
          <w:rFonts w:ascii="Calibri" w:eastAsia="Calibri" w:hAnsi="Calibri" w:cs="Calibri"/>
        </w:rPr>
        <w:t>A secondary purpose is to serve as the air quality data repository for the research community, within EPA, academia, and the health effects research community.</w:t>
      </w:r>
    </w:p>
    <w:p w14:paraId="288CC9B6" w14:textId="76F35F09" w:rsidR="00B727C4" w:rsidRDefault="00B727C4" w:rsidP="00B727C4">
      <w:pPr>
        <w:jc w:val="both"/>
        <w:rPr>
          <w:rFonts w:ascii="Calibri" w:eastAsia="Calibri" w:hAnsi="Calibri" w:cs="Calibri"/>
        </w:rPr>
      </w:pPr>
      <w:r w:rsidRPr="005C4D97">
        <w:rPr>
          <w:rFonts w:ascii="Calibri" w:eastAsia="Calibri" w:hAnsi="Calibri" w:cs="Calibri"/>
        </w:rPr>
        <w:t>AQS accepts approximately 90 million data measurements per year, facilitates the quality assurance of these values, calculates summaries at various time scales (sub-daily, daily, quarterly, and annual), and serves out about 50,000 reports per year.</w:t>
      </w:r>
      <w:r>
        <w:rPr>
          <w:rFonts w:ascii="Calibri" w:eastAsia="Calibri" w:hAnsi="Calibri" w:cs="Calibri"/>
        </w:rPr>
        <w:t xml:space="preserve"> </w:t>
      </w:r>
      <w:r w:rsidRPr="005C4D97">
        <w:rPr>
          <w:rFonts w:ascii="Calibri" w:eastAsia="Calibri" w:hAnsi="Calibri" w:cs="Calibri"/>
        </w:rPr>
        <w:t>It is an N-tiered Oracle application with approximately 70 forms and 35 reports with 700 users.</w:t>
      </w:r>
      <w:r w:rsidR="00B501AB" w:rsidRPr="00B501AB">
        <w:t xml:space="preserve"> </w:t>
      </w:r>
      <w:hyperlink r:id="rId23" w:history="1">
        <w:r w:rsidR="00B501AB" w:rsidRPr="006B2866">
          <w:rPr>
            <w:rStyle w:val="Hyperlink"/>
            <w:rFonts w:ascii="Calibri" w:eastAsia="Calibri" w:hAnsi="Calibri" w:cs="Calibri"/>
          </w:rPr>
          <w:t>https://www.epa.gov/aqs</w:t>
        </w:r>
      </w:hyperlink>
    </w:p>
    <w:p w14:paraId="3C2314B3" w14:textId="23538051" w:rsidR="00B727C4" w:rsidRDefault="00B727C4" w:rsidP="00B727C4">
      <w:pPr>
        <w:pStyle w:val="ListParagraph"/>
        <w:ind w:left="0"/>
        <w:rPr>
          <w:b/>
        </w:rPr>
      </w:pPr>
      <w:r w:rsidRPr="0043445D">
        <w:rPr>
          <w:b/>
          <w:bCs/>
        </w:rPr>
        <w:lastRenderedPageBreak/>
        <w:t>AQ</w:t>
      </w:r>
      <w:r w:rsidR="00B452CC">
        <w:rPr>
          <w:b/>
          <w:bCs/>
        </w:rPr>
        <w:t>CSV</w:t>
      </w:r>
    </w:p>
    <w:p w14:paraId="28DDD8BE" w14:textId="77777777" w:rsidR="00B727C4" w:rsidRDefault="00B727C4" w:rsidP="00B727C4">
      <w:r w:rsidRPr="005C4D97">
        <w:rPr>
          <w:rFonts w:ascii="Calibri" w:eastAsia="Calibri" w:hAnsi="Calibri" w:cs="Calibri"/>
        </w:rPr>
        <w:t>The AQCSV data format was developed to support the EPA AirNow real time data system.</w:t>
      </w:r>
      <w:r>
        <w:rPr>
          <w:rFonts w:ascii="Calibri" w:eastAsia="Calibri" w:hAnsi="Calibri" w:cs="Calibri"/>
        </w:rPr>
        <w:t xml:space="preserve"> </w:t>
      </w:r>
      <w:r w:rsidRPr="005C4D97">
        <w:rPr>
          <w:rFonts w:ascii="Calibri" w:eastAsia="Calibri" w:hAnsi="Calibri" w:cs="Calibri"/>
        </w:rPr>
        <w:t>The format is a simple text record with comma delimiters between each field.</w:t>
      </w:r>
      <w:r>
        <w:rPr>
          <w:rFonts w:ascii="Calibri" w:eastAsia="Calibri" w:hAnsi="Calibri" w:cs="Calibri"/>
        </w:rPr>
        <w:t xml:space="preserve"> </w:t>
      </w:r>
      <w:r w:rsidRPr="005C4D97">
        <w:rPr>
          <w:rFonts w:ascii="Calibri" w:eastAsia="Calibri" w:hAnsi="Calibri" w:cs="Calibri"/>
        </w:rPr>
        <w:t>Each record contains one data value for a given site, time, and parameter.</w:t>
      </w:r>
      <w:r>
        <w:rPr>
          <w:rFonts w:ascii="Calibri" w:eastAsia="Calibri" w:hAnsi="Calibri" w:cs="Calibri"/>
        </w:rPr>
        <w:t xml:space="preserve"> </w:t>
      </w:r>
      <w:r w:rsidRPr="005C4D97">
        <w:rPr>
          <w:rFonts w:ascii="Calibri" w:eastAsia="Calibri" w:hAnsi="Calibri" w:cs="Calibri"/>
        </w:rPr>
        <w:t>Other supporting fields in the record describe the time zone, units, location, and other information for that data value.</w:t>
      </w:r>
      <w:r>
        <w:rPr>
          <w:rFonts w:ascii="Calibri" w:eastAsia="Calibri" w:hAnsi="Calibri" w:cs="Calibri"/>
        </w:rPr>
        <w:t xml:space="preserve"> </w:t>
      </w:r>
    </w:p>
    <w:p w14:paraId="61D0AFF6" w14:textId="77777777" w:rsidR="00B727C4" w:rsidRDefault="00B727C4" w:rsidP="4AC4243B">
      <w:r w:rsidRPr="005C4D97">
        <w:rPr>
          <w:rFonts w:ascii="Calibri" w:eastAsia="Calibri" w:hAnsi="Calibri" w:cs="Calibri"/>
        </w:rPr>
        <w:t>AQCSV was developed with the AQS XML data format as a model, so that the two systems could maintain a high level of compatibility.</w:t>
      </w:r>
      <w:r>
        <w:rPr>
          <w:rFonts w:ascii="Calibri" w:eastAsia="Calibri" w:hAnsi="Calibri" w:cs="Calibri"/>
        </w:rPr>
        <w:t xml:space="preserve"> </w:t>
      </w:r>
      <w:r w:rsidRPr="005C4D97">
        <w:rPr>
          <w:rFonts w:ascii="Calibri" w:eastAsia="Calibri" w:hAnsi="Calibri" w:cs="Calibri"/>
        </w:rPr>
        <w:t>AQCSV supports AQS standards for parameter codes and pollutant occurrence codes (POC).</w:t>
      </w:r>
      <w:r>
        <w:rPr>
          <w:rFonts w:ascii="Calibri" w:eastAsia="Calibri" w:hAnsi="Calibri" w:cs="Calibri"/>
        </w:rPr>
        <w:t xml:space="preserve"> </w:t>
      </w:r>
      <w:r w:rsidRPr="005C4D97">
        <w:rPr>
          <w:rFonts w:ascii="Calibri" w:eastAsia="Calibri" w:hAnsi="Calibri" w:cs="Calibri"/>
        </w:rPr>
        <w:t>AQCSV can accept any AQS parameter from multiple sources such as speciated lab data, mobile monitor data, and even sub-hourly data.</w:t>
      </w:r>
    </w:p>
    <w:p w14:paraId="1DFB6063" w14:textId="7C98DF1F" w:rsidR="00B727C4" w:rsidRPr="00EF13E5" w:rsidRDefault="00B727C4" w:rsidP="00B727C4">
      <w:r w:rsidRPr="005C4D97">
        <w:rPr>
          <w:rFonts w:ascii="Calibri" w:eastAsia="Calibri" w:hAnsi="Calibri" w:cs="Calibri"/>
        </w:rPr>
        <w:t>By adopting the AQCSV format, AirNow supports the backfill of AQS approved data into AirNow when available.</w:t>
      </w:r>
      <w:r>
        <w:rPr>
          <w:rFonts w:ascii="Calibri" w:eastAsia="Calibri" w:hAnsi="Calibri" w:cs="Calibri"/>
        </w:rPr>
        <w:t xml:space="preserve"> </w:t>
      </w:r>
      <w:r w:rsidRPr="005C4D97">
        <w:rPr>
          <w:rFonts w:ascii="Calibri" w:eastAsia="Calibri" w:hAnsi="Calibri" w:cs="Calibri"/>
        </w:rPr>
        <w:t>AQCSV was also designed to support international data submission, by providing a simple, well-supported input format.</w:t>
      </w:r>
      <w:r>
        <w:rPr>
          <w:rFonts w:ascii="Calibri" w:eastAsia="Calibri" w:hAnsi="Calibri" w:cs="Calibri"/>
        </w:rPr>
        <w:t xml:space="preserve"> </w:t>
      </w:r>
      <w:r w:rsidRPr="005C4D97">
        <w:rPr>
          <w:rFonts w:ascii="Calibri" w:eastAsia="Calibri" w:hAnsi="Calibri" w:cs="Calibri"/>
        </w:rPr>
        <w:t xml:space="preserve"> The format has been implemented by all major environmental monitoring equipment and software companies, making it simple for air quality professionals to send data to AirNow.</w:t>
      </w:r>
      <w:r w:rsidR="002D0BAF">
        <w:rPr>
          <w:rFonts w:ascii="Calibri" w:eastAsia="Calibri" w:hAnsi="Calibri" w:cs="Calibri"/>
        </w:rPr>
        <w:t xml:space="preserve"> </w:t>
      </w:r>
      <w:hyperlink r:id="rId24" w:history="1">
        <w:r w:rsidR="002D0BAF" w:rsidRPr="001D576E">
          <w:rPr>
            <w:rStyle w:val="Hyperlink"/>
          </w:rPr>
          <w:t>https://aqs.epa.gov/aqsweb/documents/AQCSV</w:t>
        </w:r>
        <w:r w:rsidR="002D0BAF" w:rsidRPr="001D576E">
          <w:rPr>
            <w:rStyle w:val="Hyperlink"/>
          </w:rPr>
          <w:t>_</w:t>
        </w:r>
        <w:r w:rsidR="002D0BAF" w:rsidRPr="001D576E">
          <w:rPr>
            <w:rStyle w:val="Hyperlink"/>
          </w:rPr>
          <w:t>Format.html</w:t>
        </w:r>
      </w:hyperlink>
    </w:p>
    <w:p w14:paraId="4FAD7EA5" w14:textId="77777777" w:rsidR="00B727C4" w:rsidRDefault="00B727C4" w:rsidP="00B727C4">
      <w:pPr>
        <w:pStyle w:val="Heading2"/>
        <w:rPr>
          <w:rFonts w:ascii="Calibri" w:eastAsia="Calibri" w:hAnsi="Calibri" w:cs="Calibri"/>
          <w:b/>
          <w:bCs/>
        </w:rPr>
      </w:pPr>
      <w:r>
        <w:t>Example Implementations of the Standards</w:t>
      </w:r>
    </w:p>
    <w:p w14:paraId="4DE0611F" w14:textId="77777777" w:rsidR="00B727C4" w:rsidRPr="0095218E" w:rsidRDefault="00B727C4" w:rsidP="4AC4243B">
      <w:r w:rsidRPr="00E410D0">
        <w:rPr>
          <w:rFonts w:ascii="Calibri" w:eastAsia="Calibri" w:hAnsi="Calibri" w:cs="Calibri"/>
          <w:b/>
          <w:bCs/>
        </w:rPr>
        <w:t>Water Quality Portal</w:t>
      </w:r>
      <w:r>
        <w:rPr>
          <w:rFonts w:ascii="Calibri" w:eastAsia="Calibri" w:hAnsi="Calibri" w:cs="Calibri"/>
          <w:b/>
          <w:bCs/>
        </w:rPr>
        <w:t xml:space="preserve"> (Uses WQX Standard)</w:t>
      </w:r>
    </w:p>
    <w:p w14:paraId="33FAD2A8" w14:textId="77777777" w:rsidR="00B727C4" w:rsidRPr="0095218E" w:rsidRDefault="00B727C4" w:rsidP="4AC4243B">
      <w:r w:rsidRPr="00E410D0">
        <w:rPr>
          <w:rFonts w:ascii="Calibri" w:eastAsia="Calibri" w:hAnsi="Calibri" w:cs="Calibri"/>
        </w:rPr>
        <w:t>This implementation of WQX enables the sharing of over 300 million water quality sampling results from over 2.5 million locations.</w:t>
      </w:r>
      <w:r>
        <w:rPr>
          <w:rFonts w:ascii="Calibri" w:eastAsia="Calibri" w:hAnsi="Calibri" w:cs="Calibri"/>
        </w:rPr>
        <w:t xml:space="preserve"> </w:t>
      </w:r>
      <w:r w:rsidRPr="00E410D0">
        <w:rPr>
          <w:rFonts w:ascii="Calibri" w:eastAsia="Calibri" w:hAnsi="Calibri" w:cs="Calibri"/>
        </w:rPr>
        <w:t>It is developed and managed by USGS, EPA and the National Water Quality Monitoring Council.</w:t>
      </w:r>
      <w:r>
        <w:rPr>
          <w:rFonts w:ascii="Calibri" w:eastAsia="Calibri" w:hAnsi="Calibri" w:cs="Calibri"/>
        </w:rPr>
        <w:t xml:space="preserve"> </w:t>
      </w:r>
      <w:r w:rsidRPr="00E410D0">
        <w:rPr>
          <w:rFonts w:ascii="Calibri" w:eastAsia="Calibri" w:hAnsi="Calibri" w:cs="Calibri"/>
        </w:rPr>
        <w:t>Standard services and the WQX data model enable data sharing between over 400 different data partners.</w:t>
      </w:r>
      <w:r>
        <w:rPr>
          <w:rFonts w:ascii="Calibri" w:eastAsia="Calibri" w:hAnsi="Calibri" w:cs="Calibri"/>
          <w:b/>
          <w:bCs/>
        </w:rPr>
        <w:t xml:space="preserve">  </w:t>
      </w:r>
      <w:r w:rsidRPr="0043445D">
        <w:rPr>
          <w:rFonts w:ascii="Calibri" w:eastAsia="Calibri" w:hAnsi="Calibri" w:cs="Calibri"/>
        </w:rPr>
        <w:t xml:space="preserve">The Water Quality Portal is available at: </w:t>
      </w:r>
      <w:hyperlink r:id="rId25" w:history="1">
        <w:r w:rsidRPr="0043445D">
          <w:rPr>
            <w:rStyle w:val="Hyperlink"/>
            <w:rFonts w:ascii="Calibri" w:eastAsia="Calibri" w:hAnsi="Calibri" w:cs="Calibri"/>
          </w:rPr>
          <w:t>https://waterqualitydata.us</w:t>
        </w:r>
      </w:hyperlink>
      <w:r w:rsidRPr="0043445D">
        <w:rPr>
          <w:rFonts w:ascii="Calibri" w:eastAsia="Calibri" w:hAnsi="Calibri" w:cs="Calibri"/>
        </w:rPr>
        <w:t xml:space="preserve">. </w:t>
      </w:r>
    </w:p>
    <w:p w14:paraId="38703C31" w14:textId="77777777" w:rsidR="00B727C4" w:rsidRPr="0095218E" w:rsidRDefault="00B727C4" w:rsidP="00B727C4">
      <w:r w:rsidRPr="00E410D0">
        <w:rPr>
          <w:rFonts w:ascii="Calibri" w:eastAsia="Calibri" w:hAnsi="Calibri" w:cs="Calibri"/>
          <w:b/>
          <w:bCs/>
        </w:rPr>
        <w:t>Interoperable Watershed Network</w:t>
      </w:r>
      <w:r>
        <w:rPr>
          <w:rFonts w:ascii="Calibri" w:eastAsia="Calibri" w:hAnsi="Calibri" w:cs="Calibri"/>
          <w:b/>
          <w:bCs/>
        </w:rPr>
        <w:t xml:space="preserve"> (Uses OGC standards: SensorML, WaterML2)</w:t>
      </w:r>
    </w:p>
    <w:p w14:paraId="44C1F061" w14:textId="77777777" w:rsidR="00B727C4" w:rsidRPr="0095218E" w:rsidRDefault="00B727C4" w:rsidP="4AC4243B">
      <w:r w:rsidRPr="00E410D0">
        <w:rPr>
          <w:rFonts w:ascii="Calibri" w:eastAsia="Calibri" w:hAnsi="Calibri" w:cs="Calibri"/>
        </w:rPr>
        <w:t>The IWN was a demonstration/test project under E-Enterprise that tested the OGC standards to determine if they would perform sufficiently for sharing sensor data.</w:t>
      </w:r>
      <w:r>
        <w:rPr>
          <w:rFonts w:ascii="Calibri" w:eastAsia="Calibri" w:hAnsi="Calibri" w:cs="Calibri"/>
        </w:rPr>
        <w:t xml:space="preserve"> </w:t>
      </w:r>
      <w:r w:rsidRPr="00E410D0">
        <w:rPr>
          <w:rFonts w:ascii="Calibri" w:eastAsia="Calibri" w:hAnsi="Calibri" w:cs="Calibri"/>
        </w:rPr>
        <w:t>The pilot tested the sharing of data from 8 different partners from over 15,000 sensors.</w:t>
      </w:r>
      <w:r>
        <w:rPr>
          <w:rFonts w:ascii="Calibri" w:eastAsia="Calibri" w:hAnsi="Calibri" w:cs="Calibri"/>
        </w:rPr>
        <w:t xml:space="preserve"> </w:t>
      </w:r>
      <w:r w:rsidRPr="00E410D0">
        <w:rPr>
          <w:rFonts w:ascii="Calibri" w:eastAsia="Calibri" w:hAnsi="Calibri" w:cs="Calibri"/>
        </w:rPr>
        <w:t>The standards performed well.</w:t>
      </w:r>
      <w:r>
        <w:rPr>
          <w:rFonts w:ascii="Calibri" w:eastAsia="Calibri" w:hAnsi="Calibri" w:cs="Calibri"/>
        </w:rPr>
        <w:t xml:space="preserve"> </w:t>
      </w:r>
      <w:r w:rsidRPr="00E410D0">
        <w:rPr>
          <w:rFonts w:ascii="Calibri" w:eastAsia="Calibri" w:hAnsi="Calibri" w:cs="Calibri"/>
        </w:rPr>
        <w:t>The IWN also leveraged off-the-shelf software to enable the data sharing network</w:t>
      </w:r>
      <w:r w:rsidRPr="00E410D0">
        <w:rPr>
          <w:rFonts w:ascii="Calibri" w:eastAsia="Calibri" w:hAnsi="Calibri" w:cs="Calibri"/>
          <w:b/>
          <w:bCs/>
        </w:rPr>
        <w:t>.</w:t>
      </w:r>
      <w:r>
        <w:rPr>
          <w:rFonts w:ascii="Calibri" w:eastAsia="Calibri" w:hAnsi="Calibri" w:cs="Calibri"/>
          <w:b/>
          <w:bCs/>
        </w:rPr>
        <w:t xml:space="preserve"> </w:t>
      </w:r>
      <w:r w:rsidRPr="0043445D">
        <w:rPr>
          <w:rFonts w:ascii="Calibri" w:eastAsia="Calibri" w:hAnsi="Calibri" w:cs="Calibri"/>
        </w:rPr>
        <w:t xml:space="preserve">The demonstration tool for IWN is available at: </w:t>
      </w:r>
      <w:hyperlink r:id="rId26" w:history="1">
        <w:r w:rsidRPr="0043445D">
          <w:rPr>
            <w:rStyle w:val="Hyperlink"/>
            <w:rFonts w:ascii="Calibri" w:eastAsia="Calibri" w:hAnsi="Calibri" w:cs="Calibri"/>
          </w:rPr>
          <w:t>http://54.210.62.171/</w:t>
        </w:r>
      </w:hyperlink>
      <w:r w:rsidRPr="0043445D">
        <w:rPr>
          <w:rFonts w:ascii="Calibri" w:eastAsia="Calibri" w:hAnsi="Calibri" w:cs="Calibri"/>
        </w:rPr>
        <w:t xml:space="preserve">. </w:t>
      </w:r>
    </w:p>
    <w:p w14:paraId="3D138FFE" w14:textId="48067480" w:rsidR="00B727C4" w:rsidRPr="00F304DD" w:rsidRDefault="00B727C4" w:rsidP="00B727C4">
      <w:pPr>
        <w:pStyle w:val="ListParagraph"/>
        <w:ind w:left="0"/>
        <w:contextualSpacing w:val="0"/>
        <w:rPr>
          <w:b/>
          <w:bCs/>
        </w:rPr>
      </w:pPr>
      <w:r w:rsidRPr="0043445D">
        <w:rPr>
          <w:b/>
          <w:bCs/>
        </w:rPr>
        <w:t xml:space="preserve">CUAHSI (Uses </w:t>
      </w:r>
      <w:proofErr w:type="spellStart"/>
      <w:r w:rsidRPr="0043445D">
        <w:rPr>
          <w:b/>
          <w:bCs/>
        </w:rPr>
        <w:t>WaterOneFlow</w:t>
      </w:r>
      <w:proofErr w:type="spellEnd"/>
      <w:r w:rsidRPr="0043445D">
        <w:rPr>
          <w:b/>
          <w:bCs/>
        </w:rPr>
        <w:t>/WaterML)</w:t>
      </w:r>
    </w:p>
    <w:p w14:paraId="210C7547" w14:textId="0DD5877A" w:rsidR="00B727C4" w:rsidRDefault="00B727C4" w:rsidP="00B727C4">
      <w:pPr>
        <w:pStyle w:val="ListParagraph"/>
        <w:ind w:left="0"/>
        <w:contextualSpacing w:val="0"/>
      </w:pPr>
      <w:r>
        <w:t xml:space="preserve">The CUAHSI network has a similar design to the IWN project except that they use their own custom-developed standards and services. The CUAHSI catalog ingests data from over 90 partners throughout the world, with a large focus on academic partners. CUAHSI has developed a suite of open-source tools that support the publishing of </w:t>
      </w:r>
      <w:proofErr w:type="spellStart"/>
      <w:r>
        <w:t>WaterOneFlow</w:t>
      </w:r>
      <w:proofErr w:type="spellEnd"/>
      <w:r>
        <w:t xml:space="preserve"> services through their Observations Data Model (ODM) system which can be deployed by any partner to activate a node on their network and serve as a Hydrologic Information Service (HIS).  CUAHSI has also developed open-source tools for consuming data from the network as well. The CUAHSI community is a broad and vibrant community. CUAHSI is beginning to evaluate updating their network to include the OGC standard</w:t>
      </w:r>
      <w:r w:rsidR="002D0BAF">
        <w:t xml:space="preserve">s. </w:t>
      </w:r>
      <w:hyperlink r:id="rId27" w:history="1">
        <w:r w:rsidRPr="001D576E">
          <w:rPr>
            <w:rStyle w:val="Hyperlink"/>
          </w:rPr>
          <w:t>http://his.cuahsi.org/</w:t>
        </w:r>
        <w:bookmarkStart w:id="0" w:name="_GoBack"/>
        <w:bookmarkEnd w:id="0"/>
        <w:r w:rsidRPr="001D576E">
          <w:rPr>
            <w:rStyle w:val="Hyperlink"/>
          </w:rPr>
          <w:t>w</w:t>
        </w:r>
        <w:r w:rsidRPr="001D576E">
          <w:rPr>
            <w:rStyle w:val="Hyperlink"/>
          </w:rPr>
          <w:t>ofws.html</w:t>
        </w:r>
      </w:hyperlink>
    </w:p>
    <w:p w14:paraId="5DB531EC" w14:textId="3D8B444F" w:rsidR="00B727C4" w:rsidRPr="00F304DD" w:rsidRDefault="00B727C4" w:rsidP="00B727C4">
      <w:pPr>
        <w:pStyle w:val="ListParagraph"/>
        <w:ind w:left="0"/>
        <w:contextualSpacing w:val="0"/>
        <w:rPr>
          <w:b/>
          <w:bCs/>
        </w:rPr>
      </w:pPr>
      <w:r w:rsidRPr="0043445D">
        <w:rPr>
          <w:b/>
          <w:bCs/>
        </w:rPr>
        <w:t>USGS National Water Information System (Uses WaterML, WaterML2, and Custom Services)</w:t>
      </w:r>
    </w:p>
    <w:p w14:paraId="0B490879" w14:textId="609626ED" w:rsidR="00B727C4" w:rsidRDefault="00B727C4" w:rsidP="00B727C4">
      <w:pPr>
        <w:pStyle w:val="ListParagraph"/>
        <w:ind w:left="0"/>
        <w:contextualSpacing w:val="0"/>
      </w:pPr>
      <w:r w:rsidRPr="00907886">
        <w:t>HYDROML is an XML format developed for the transport and archival of hyd</w:t>
      </w:r>
      <w:r>
        <w:t>r</w:t>
      </w:r>
      <w:r w:rsidRPr="00907886">
        <w:t xml:space="preserve">ologic data. HYDROML was originally developed by the National Water Information System (NWIS) office of the United States Geological Survey for the purposes of importing, exporting, and archiving hydrologic data from and to the NWIS data base. </w:t>
      </w:r>
      <w:proofErr w:type="spellStart"/>
      <w:r w:rsidRPr="00907886">
        <w:t>AquariusHYDROML</w:t>
      </w:r>
      <w:proofErr w:type="spellEnd"/>
      <w:r w:rsidRPr="00907886">
        <w:t xml:space="preserve"> is a modification of the original work to allow it to be used with the Aquarius software. </w:t>
      </w:r>
      <w:proofErr w:type="spellStart"/>
      <w:r w:rsidRPr="00907886">
        <w:t>AquariusHYDROML</w:t>
      </w:r>
      <w:proofErr w:type="spellEnd"/>
      <w:r w:rsidRPr="00907886">
        <w:t xml:space="preserve"> is a variation of HYDROML and not an extension. The types of hydrologic data include site information, computation instructions, corrections, ratings, shifts, time-series data including unit values and daily value statistics, peak flows, and site visit measurements. There </w:t>
      </w:r>
      <w:r w:rsidRPr="00907886">
        <w:lastRenderedPageBreak/>
        <w:t>are many different uses possible for HYDROML and not all data elements are used in every case. In fact</w:t>
      </w:r>
      <w:r w:rsidR="00141001">
        <w:t>,</w:t>
      </w:r>
      <w:r w:rsidRPr="00907886">
        <w:t xml:space="preserve"> many data elements will not be used depending upon the data content desired or the usage of the XML file.</w:t>
      </w:r>
      <w:r>
        <w:t xml:space="preserve"> </w:t>
      </w:r>
      <w:r w:rsidRPr="00907886">
        <w:t>There are many different usage examples that are possible but the combinations are too numerous to list here.</w:t>
      </w:r>
      <w:r w:rsidRPr="002A553B">
        <w:t xml:space="preserve"> </w:t>
      </w:r>
      <w:hyperlink r:id="rId28" w:history="1">
        <w:r w:rsidRPr="001D576E">
          <w:rPr>
            <w:rStyle w:val="Hyperlink"/>
          </w:rPr>
          <w:t>https://water.usgs.gov/XML/NWIS/nwis_hml.htm</w:t>
        </w:r>
      </w:hyperlink>
    </w:p>
    <w:p w14:paraId="0BD6C65A" w14:textId="77777777" w:rsidR="00B727C4" w:rsidRPr="005C4D97" w:rsidRDefault="00B727C4" w:rsidP="00B727C4">
      <w:pPr>
        <w:keepNext/>
        <w:keepLines/>
        <w:rPr>
          <w:b/>
          <w:bCs/>
        </w:rPr>
      </w:pPr>
      <w:r w:rsidRPr="0043445D">
        <w:rPr>
          <w:b/>
          <w:bCs/>
        </w:rPr>
        <w:t>MARACOOS (Mid-Atlantic Regional Association Coastal Ocean Observing System)</w:t>
      </w:r>
      <w:r>
        <w:rPr>
          <w:b/>
          <w:bCs/>
        </w:rPr>
        <w:t xml:space="preserve"> </w:t>
      </w:r>
      <w:r w:rsidRPr="0043445D">
        <w:rPr>
          <w:b/>
          <w:bCs/>
        </w:rPr>
        <w:t>(Uses netCDF, WaterML)</w:t>
      </w:r>
    </w:p>
    <w:p w14:paraId="49842D9B" w14:textId="77777777" w:rsidR="00B727C4" w:rsidRPr="00E410D0" w:rsidRDefault="00B727C4" w:rsidP="00B727C4">
      <w:pPr>
        <w:keepNext/>
        <w:keepLines/>
      </w:pPr>
      <w:r w:rsidRPr="0043445D">
        <w:t>MARACOOS follows a National Oceanic and Atmospheric Administration (NOAA) National Centers for Environmental Information (NCEI) 2.0 templates and CF1.6 compliant standards.</w:t>
      </w:r>
      <w:r>
        <w:t xml:space="preserve"> </w:t>
      </w:r>
      <w:r w:rsidRPr="00E410D0">
        <w:t xml:space="preserve"> Any data partners submitting data through MARACOOS must meet these standards.</w:t>
      </w:r>
      <w:r>
        <w:t xml:space="preserve"> </w:t>
      </w:r>
      <w:r w:rsidRPr="00E410D0">
        <w:t>NOAA has developed netCDF templates to encourage</w:t>
      </w:r>
      <w:r w:rsidRPr="0043445D">
        <w:t xml:space="preserve"> long-term preservation, scientific quality control, and multiple data re-use beyond its original intent.</w:t>
      </w:r>
      <w:r>
        <w:t xml:space="preserve"> </w:t>
      </w:r>
      <w:r w:rsidRPr="00AF1554">
        <w:t>NOAA does note that these templates do not represent an attempt to create a new standard, and they are not absolutely required for archiving data at NCEI. However, they hope that users see the benefits in structuring data following these conventions.</w:t>
      </w:r>
    </w:p>
    <w:p w14:paraId="6ED67503" w14:textId="77777777" w:rsidR="00B727C4" w:rsidRPr="00E410D0" w:rsidRDefault="00B727C4" w:rsidP="4AC4243B">
      <w:r w:rsidRPr="00E410D0">
        <w:t>In addition, there is a ISO 19115-2 metadata standard that is followed that focuses more intently on the geographic and spatial content of the data.</w:t>
      </w:r>
      <w:r>
        <w:t xml:space="preserve"> </w:t>
      </w:r>
      <w:r w:rsidRPr="00E410D0">
        <w:t>Especially imagery and gridded based data.</w:t>
      </w:r>
      <w:r>
        <w:t xml:space="preserve"> </w:t>
      </w:r>
      <w:r w:rsidRPr="00E410D0">
        <w:t>This is a standard by International Organization for Standardization (ISO)</w:t>
      </w:r>
      <w:r w:rsidRPr="42B3EC0E">
        <w:t>.</w:t>
      </w:r>
    </w:p>
    <w:p w14:paraId="485F5969" w14:textId="11C76D36" w:rsidR="002D0BAF" w:rsidRDefault="00B727C4" w:rsidP="4AC4243B">
      <w:pPr>
        <w:contextualSpacing/>
      </w:pPr>
      <w:r>
        <w:t>To test data quality, t</w:t>
      </w:r>
      <w:r w:rsidRPr="00E410D0">
        <w:t>hese standards are compared against the ‘Quality Assurance of Real-Time Oceanographic Data’ (QARTOD) methodology.</w:t>
      </w:r>
      <w:r>
        <w:t xml:space="preserve"> </w:t>
      </w:r>
      <w:r w:rsidRPr="00E410D0">
        <w:t>QARTOD is part of the Integrated Ocean Observing System (IOOS) which is affiliated with NOAA.</w:t>
      </w:r>
      <w:r>
        <w:t xml:space="preserve"> </w:t>
      </w:r>
      <w:r w:rsidRPr="00E410D0">
        <w:t>QARTOD has more of a focus on Real-Time Quality Control of Data and High Frequency (HF) Radar Surface Current Data.</w:t>
      </w:r>
      <w:r>
        <w:t xml:space="preserve"> </w:t>
      </w:r>
      <w:r w:rsidRPr="00E410D0">
        <w:t>Users submitting their data must at least follow the QARTOD standard or have something more rigorous in place.</w:t>
      </w:r>
      <w:r>
        <w:t xml:space="preserve"> </w:t>
      </w:r>
      <w:hyperlink r:id="rId29" w:history="1">
        <w:r w:rsidR="002D0BAF" w:rsidRPr="00733881">
          <w:rPr>
            <w:rStyle w:val="Hyperlink"/>
          </w:rPr>
          <w:t>https://maracoos.org/</w:t>
        </w:r>
      </w:hyperlink>
    </w:p>
    <w:p w14:paraId="1300BC4F" w14:textId="77777777" w:rsidR="00B727C4" w:rsidRPr="005C4D97" w:rsidRDefault="00B727C4" w:rsidP="00B727C4">
      <w:pPr>
        <w:pStyle w:val="ListParagraph"/>
        <w:ind w:left="0"/>
        <w:rPr>
          <w:b/>
          <w:bCs/>
        </w:rPr>
      </w:pPr>
      <w:r w:rsidRPr="0043445D">
        <w:rPr>
          <w:b/>
          <w:bCs/>
        </w:rPr>
        <w:t>AirNow</w:t>
      </w:r>
    </w:p>
    <w:p w14:paraId="1E44D281" w14:textId="77777777" w:rsidR="00B727C4" w:rsidRDefault="00B727C4" w:rsidP="00B727C4">
      <w:r>
        <w:t>The</w:t>
      </w:r>
      <w:r w:rsidRPr="79DECCAA">
        <w:t xml:space="preserve"> </w:t>
      </w:r>
      <w:r>
        <w:t>AirNow</w:t>
      </w:r>
      <w:r w:rsidRPr="79DECCAA">
        <w:t xml:space="preserve"> </w:t>
      </w:r>
      <w:proofErr w:type="spellStart"/>
      <w:r>
        <w:t>realtime</w:t>
      </w:r>
      <w:proofErr w:type="spellEnd"/>
      <w:r>
        <w:t xml:space="preserve"> data system receives data from </w:t>
      </w:r>
      <w:r w:rsidRPr="3CBFA7C0">
        <w:t>nearly 4000 regulatory monitors in the US, as well as data from Canada and Mex</w:t>
      </w:r>
      <w:r w:rsidRPr="5ED4A501">
        <w:t>ico.</w:t>
      </w:r>
      <w:r>
        <w:t xml:space="preserve"> </w:t>
      </w:r>
      <w:r w:rsidRPr="5ED4A501">
        <w:t>More recently, the AirNow system has been extended to accept data f</w:t>
      </w:r>
      <w:r w:rsidRPr="6F4D9C8E">
        <w:t>rom international partners in SE Asia, beginning with Taiwan.</w:t>
      </w:r>
      <w:r>
        <w:t xml:space="preserve"> </w:t>
      </w:r>
      <w:r w:rsidRPr="6F4D9C8E">
        <w:t>Partners in SE Asia hope to use the AirNow infrastructure to establish regional data sharing.</w:t>
      </w:r>
      <w:r>
        <w:t xml:space="preserve"> </w:t>
      </w:r>
      <w:r w:rsidRPr="6F4D9C8E">
        <w:t>Further, AirNow was selected by the Department of State to host data from its growing Embassy Monitoring Program, in which regulatory-grade monitors are deployed at embassies and consulates worldwide.</w:t>
      </w:r>
    </w:p>
    <w:p w14:paraId="514C745B" w14:textId="77777777" w:rsidR="00B727C4" w:rsidRDefault="00B727C4" w:rsidP="00B727C4">
      <w:r>
        <w:t xml:space="preserve">A critical part of the AirNow infrastructure, the AQCSV data format is a simple text record with comma delimiters between each field. Each record contains one data value for a given site, time, and parameter. Other supporting fields in the record describe the time zone, units, location, and other information for that data value.  </w:t>
      </w:r>
    </w:p>
    <w:p w14:paraId="7D18AA8F" w14:textId="5D12595E" w:rsidR="00B727C4" w:rsidRDefault="00B727C4" w:rsidP="00B727C4">
      <w:r>
        <w:t>AQCSV is a proprietary, but open and well</w:t>
      </w:r>
      <w:r w:rsidRPr="79DECCAA">
        <w:t>-</w:t>
      </w:r>
      <w:r>
        <w:t>supported, format.  The AirNow team furnished the AQCSV specifications to all monitoring equipment companies and most, if not all, have built-in AQCSV modules that can be used to flow data into AirNow</w:t>
      </w:r>
      <w:r w:rsidRPr="79DECCAA">
        <w:t>.</w:t>
      </w:r>
      <w:r>
        <w:t xml:space="preserve"> </w:t>
      </w:r>
      <w:hyperlink r:id="rId30" w:history="1">
        <w:r w:rsidR="00693CFE" w:rsidRPr="00733881">
          <w:rPr>
            <w:rStyle w:val="Hyperlink"/>
          </w:rPr>
          <w:t>https://www.airnow.gov/</w:t>
        </w:r>
      </w:hyperlink>
    </w:p>
    <w:p w14:paraId="580A0B6E" w14:textId="4D7C5A05" w:rsidR="00B727C4" w:rsidRPr="004367BA" w:rsidRDefault="00B727C4" w:rsidP="00B727C4">
      <w:pPr>
        <w:pStyle w:val="ListParagraph"/>
        <w:ind w:left="0"/>
        <w:contextualSpacing w:val="0"/>
        <w:rPr>
          <w:b/>
          <w:bCs/>
        </w:rPr>
      </w:pPr>
      <w:r w:rsidRPr="004367BA">
        <w:rPr>
          <w:b/>
          <w:bCs/>
        </w:rPr>
        <w:t>NOAA IOOS</w:t>
      </w:r>
    </w:p>
    <w:p w14:paraId="3ADF42C2" w14:textId="08701108" w:rsidR="00A21B87" w:rsidRPr="00693CFE" w:rsidRDefault="00B727C4" w:rsidP="00693CFE">
      <w:pPr>
        <w:pStyle w:val="ListParagraph"/>
        <w:ind w:left="0"/>
        <w:contextualSpacing w:val="0"/>
        <w:sectPr w:rsidR="00A21B87" w:rsidRPr="00693CFE" w:rsidSect="004A7BBF">
          <w:pgSz w:w="12240" w:h="15840"/>
          <w:pgMar w:top="720" w:right="1440" w:bottom="540" w:left="1440" w:header="720" w:footer="278" w:gutter="0"/>
          <w:cols w:space="720"/>
          <w:docGrid w:linePitch="360"/>
        </w:sectPr>
      </w:pPr>
      <w:r>
        <w:t xml:space="preserve">The </w:t>
      </w:r>
      <w:r w:rsidRPr="005C4D97">
        <w:t>Integrat</w:t>
      </w:r>
      <w:r w:rsidRPr="002E2058">
        <w:t>ed Ocean Observing System</w:t>
      </w:r>
      <w:r>
        <w:t>’s</w:t>
      </w:r>
      <w:r w:rsidRPr="002E2058">
        <w:t xml:space="preserve"> (IOOS</w:t>
      </w:r>
      <w:r w:rsidRPr="42B3EC0E">
        <w:t>)</w:t>
      </w:r>
      <w:r>
        <w:t xml:space="preserve"> goal is to </w:t>
      </w:r>
      <w:r w:rsidRPr="005C4D97">
        <w:t xml:space="preserve">maximize access to data and </w:t>
      </w:r>
      <w:r>
        <w:t>produce</w:t>
      </w:r>
      <w:r w:rsidRPr="005C4D97">
        <w:t xml:space="preserve"> information</w:t>
      </w:r>
      <w:r>
        <w:t xml:space="preserve"> that</w:t>
      </w:r>
      <w:r w:rsidRPr="005C4D97">
        <w:t xml:space="preserve"> promote</w:t>
      </w:r>
      <w:r>
        <w:t>s</w:t>
      </w:r>
      <w:r w:rsidRPr="005C4D97">
        <w:t xml:space="preserve"> efficient and accurate decision making.</w:t>
      </w:r>
      <w:r>
        <w:t xml:space="preserve"> IOOS supports National Oceanic Atmospheric Administration (NOAA) directly. IOOS is a national partnership that requires a series of standards, formats, and protocols depending on the type of data being submitted by a partner.  IOOS data providers are expected to supply metadata using one of the below standards that feeds the ‘IOOS Catalog’ for Public search and discovery.  In general, </w:t>
      </w:r>
      <w:r w:rsidRPr="005C4D97">
        <w:t>partners should follow the guidelines in the </w:t>
      </w:r>
      <w:hyperlink r:id="rId31" w:history="1">
        <w:r w:rsidRPr="005C4D97">
          <w:t>NOAA Data Documentation Procedural Directive</w:t>
        </w:r>
      </w:hyperlink>
      <w:r>
        <w:t xml:space="preserve"> when determining appropriate meta data standards for data submission. </w:t>
      </w:r>
      <w:hyperlink r:id="rId32" w:history="1">
        <w:r w:rsidR="00693CFE" w:rsidRPr="00733881">
          <w:rPr>
            <w:rStyle w:val="Hyperlink"/>
          </w:rPr>
          <w:t>https://ioos.noaa.gov/</w:t>
        </w:r>
      </w:hyperlink>
      <w:r>
        <w:rPr>
          <w:rFonts w:ascii="Calibri" w:eastAsia="Calibri" w:hAnsi="Calibri" w:cs="Calibri"/>
          <w:color w:val="000000" w:themeColor="text1"/>
        </w:rPr>
        <w:br w:type="page"/>
      </w:r>
    </w:p>
    <w:p w14:paraId="517EA020" w14:textId="4561177A" w:rsidR="00186589" w:rsidRPr="00C674F9" w:rsidRDefault="00186589" w:rsidP="00AF1554">
      <w:pPr>
        <w:pStyle w:val="Heading1"/>
      </w:pPr>
      <w:r w:rsidRPr="00C674F9">
        <w:lastRenderedPageBreak/>
        <w:t>Appendix</w:t>
      </w:r>
      <w:r w:rsidR="00B64FB2" w:rsidRPr="00C674F9">
        <w:t xml:space="preserve"> C</w:t>
      </w:r>
      <w:r w:rsidRPr="00C674F9">
        <w:t xml:space="preserve">: </w:t>
      </w:r>
      <w:r w:rsidR="00AB2732" w:rsidRPr="00C674F9">
        <w:t>R</w:t>
      </w:r>
      <w:r w:rsidRPr="00C674F9">
        <w:t xml:space="preserve">elated </w:t>
      </w:r>
      <w:r w:rsidR="00AB2732" w:rsidRPr="00C674F9">
        <w:t>P</w:t>
      </w:r>
      <w:r w:rsidRPr="00C674F9">
        <w:t>rojects</w:t>
      </w:r>
    </w:p>
    <w:p w14:paraId="72FF4648" w14:textId="2A18DF22" w:rsidR="00AB2732" w:rsidRDefault="00AB2732" w:rsidP="00186589">
      <w:pPr>
        <w:rPr>
          <w:bCs/>
        </w:rPr>
      </w:pPr>
    </w:p>
    <w:p w14:paraId="1734E10A" w14:textId="2B196B28" w:rsidR="00AB2732" w:rsidRDefault="00B452CC" w:rsidP="00186589">
      <w:pPr>
        <w:rPr>
          <w:b/>
          <w:bCs/>
        </w:rPr>
      </w:pPr>
      <w:r>
        <w:rPr>
          <w:bCs/>
        </w:rPr>
        <w:t>T</w:t>
      </w:r>
      <w:r w:rsidR="00AB2732">
        <w:rPr>
          <w:bCs/>
        </w:rPr>
        <w:t>he team evaluated other approa</w:t>
      </w:r>
      <w:r>
        <w:rPr>
          <w:bCs/>
        </w:rPr>
        <w:t>ches that are not yet standards-</w:t>
      </w:r>
      <w:r w:rsidR="00AB2732">
        <w:rPr>
          <w:bCs/>
        </w:rPr>
        <w:t>bas</w:t>
      </w:r>
      <w:r>
        <w:rPr>
          <w:bCs/>
        </w:rPr>
        <w:t xml:space="preserve">ed, but could inform future use </w:t>
      </w:r>
      <w:r w:rsidR="00AB2732">
        <w:rPr>
          <w:bCs/>
        </w:rPr>
        <w:t>cases for interoperable sensor data.</w:t>
      </w:r>
      <w:r w:rsidR="00C674F9">
        <w:rPr>
          <w:bCs/>
        </w:rPr>
        <w:t xml:space="preserve"> </w:t>
      </w:r>
      <w:r w:rsidR="00AB2732">
        <w:rPr>
          <w:bCs/>
        </w:rPr>
        <w:t>These projects were not evaluated as part of this report, b</w:t>
      </w:r>
      <w:r>
        <w:rPr>
          <w:bCs/>
        </w:rPr>
        <w:t>ut may provide insight for the a</w:t>
      </w:r>
      <w:r w:rsidR="00AB2732">
        <w:rPr>
          <w:bCs/>
        </w:rPr>
        <w:t>rchitecture report.</w:t>
      </w:r>
    </w:p>
    <w:p w14:paraId="30DE8B9A" w14:textId="600D22DC" w:rsidR="00186589" w:rsidRPr="00186589" w:rsidRDefault="00186589" w:rsidP="00186589">
      <w:pPr>
        <w:rPr>
          <w:b/>
          <w:bCs/>
        </w:rPr>
      </w:pPr>
      <w:r w:rsidRPr="00186589">
        <w:rPr>
          <w:b/>
          <w:bCs/>
        </w:rPr>
        <w:t>CoCoRaHS (Community Collaborative Rain, Hail and Snow Network)</w:t>
      </w:r>
    </w:p>
    <w:p w14:paraId="2C950EA2" w14:textId="5D3A73C0" w:rsidR="00186589" w:rsidRPr="00186589" w:rsidRDefault="00186589" w:rsidP="53806FB2">
      <w:r w:rsidRPr="00186589">
        <w:t>CoCoRaHS is a grassroots volunteer network of backyard weather observers who measure and map precipitation (rain, hail and snow) in their local communities.</w:t>
      </w:r>
      <w:r w:rsidR="00C674F9">
        <w:t xml:space="preserve"> </w:t>
      </w:r>
      <w:r w:rsidRPr="00186589">
        <w:t>The system receives approximately 11,000 observations per day and observers have collected approximately 38 million records over the past 10 years.</w:t>
      </w:r>
    </w:p>
    <w:p w14:paraId="6D5F2754" w14:textId="65AFC1EC" w:rsidR="00186589" w:rsidRPr="00186589" w:rsidRDefault="00186589" w:rsidP="53806FB2">
      <w:r w:rsidRPr="00186589">
        <w:t xml:space="preserve">CoCoRaHS data is transmitted from a website or a mobile app using http and https protocols. They use data </w:t>
      </w:r>
      <w:r w:rsidR="00AB2732" w:rsidRPr="00186589">
        <w:t>standards</w:t>
      </w:r>
      <w:r w:rsidRPr="00186589">
        <w:t xml:space="preserve"> that are very similar to the </w:t>
      </w:r>
      <w:r w:rsidR="00AB2732">
        <w:t>National Weather Service (NWS)</w:t>
      </w:r>
      <w:r w:rsidR="00AB2732" w:rsidRPr="00186589">
        <w:t xml:space="preserve"> </w:t>
      </w:r>
      <w:r w:rsidRPr="00186589">
        <w:t xml:space="preserve">Cooperative Observer Program (COOP program). These differences are known by the NWS personnel who use the data, but it is not an issue because </w:t>
      </w:r>
      <w:proofErr w:type="spellStart"/>
      <w:r w:rsidRPr="00186589">
        <w:t>COCORaHS</w:t>
      </w:r>
      <w:proofErr w:type="spellEnd"/>
      <w:r w:rsidRPr="00186589">
        <w:t xml:space="preserve"> can map </w:t>
      </w:r>
      <w:proofErr w:type="gramStart"/>
      <w:r w:rsidRPr="00186589">
        <w:t>all of</w:t>
      </w:r>
      <w:proofErr w:type="gramEnd"/>
      <w:r w:rsidRPr="00186589">
        <w:t xml:space="preserve"> their data to NWS specifications. </w:t>
      </w:r>
    </w:p>
    <w:p w14:paraId="75A35F55" w14:textId="30686C7E" w:rsidR="00186589" w:rsidRPr="00186589" w:rsidRDefault="00186589" w:rsidP="53806FB2">
      <w:r w:rsidRPr="00186589">
        <w:t xml:space="preserve">For </w:t>
      </w:r>
      <w:proofErr w:type="spellStart"/>
      <w:r w:rsidRPr="00186589">
        <w:t>COCORaHS</w:t>
      </w:r>
      <w:proofErr w:type="spellEnd"/>
      <w:r w:rsidRPr="00186589">
        <w:t xml:space="preserve">, the important thing is to be able to map their data into the formats that their data users need. For instance, the WaterML standard provides additional schema definitions for hydrology data with XML being the data format. However, the </w:t>
      </w:r>
      <w:proofErr w:type="spellStart"/>
      <w:r w:rsidRPr="00186589">
        <w:t>COCORaHAS</w:t>
      </w:r>
      <w:proofErr w:type="spellEnd"/>
      <w:r w:rsidRPr="00186589">
        <w:t xml:space="preserve"> data users have not asked for data in this standard because it would be harder for them to ingest on their end than a simple CSV or XML file. If </w:t>
      </w:r>
      <w:proofErr w:type="spellStart"/>
      <w:r w:rsidRPr="00186589">
        <w:t>COCORaHS</w:t>
      </w:r>
      <w:proofErr w:type="spellEnd"/>
      <w:r w:rsidRPr="00186589">
        <w:t xml:space="preserve"> had users who requested WaterML then they would support it. JSON will be the primary data format for CoCoRaHS </w:t>
      </w:r>
      <w:proofErr w:type="gramStart"/>
      <w:r w:rsidRPr="00186589">
        <w:t>in the near future</w:t>
      </w:r>
      <w:proofErr w:type="gramEnd"/>
      <w:r w:rsidRPr="00186589">
        <w:t xml:space="preserve"> and they will continue to support the existing export utilities. They have already started supporting </w:t>
      </w:r>
      <w:proofErr w:type="spellStart"/>
      <w:r w:rsidRPr="00186589">
        <w:t>GeoJSON</w:t>
      </w:r>
      <w:proofErr w:type="spellEnd"/>
      <w:r w:rsidRPr="00186589">
        <w:t xml:space="preserve"> for one data feed based on need.</w:t>
      </w:r>
    </w:p>
    <w:p w14:paraId="3FB318BF" w14:textId="77777777" w:rsidR="00F80DF2" w:rsidRDefault="00186589" w:rsidP="5656EAD3">
      <w:r w:rsidRPr="00186589">
        <w:t xml:space="preserve">Regarding the combination of data, the larger data aggregators like the Applied Climate Information System, PRISM Climate Group and Global Historical Climatology Network have not provided standards per se, but their data formats become de facto standards. Once data users have a library to access data from an aggregator they can access a range of data sets. Unfortunately for the aggregators, the data sources they collect are usually unique so they </w:t>
      </w:r>
      <w:proofErr w:type="gramStart"/>
      <w:r w:rsidRPr="00186589">
        <w:t>have to</w:t>
      </w:r>
      <w:proofErr w:type="gramEnd"/>
      <w:r w:rsidRPr="00186589">
        <w:t xml:space="preserve"> customize each data ingest process.</w:t>
      </w:r>
    </w:p>
    <w:p w14:paraId="1519E155" w14:textId="54431342" w:rsidR="00186589" w:rsidRPr="00186589" w:rsidRDefault="00186589" w:rsidP="00186589">
      <w:pPr>
        <w:rPr>
          <w:b/>
          <w:bCs/>
        </w:rPr>
      </w:pPr>
      <w:r w:rsidRPr="00186589">
        <w:rPr>
          <w:b/>
          <w:bCs/>
        </w:rPr>
        <w:t>Waggle/Plenar.io</w:t>
      </w:r>
      <w:r w:rsidR="00F80DF2">
        <w:rPr>
          <w:b/>
          <w:bCs/>
        </w:rPr>
        <w:t xml:space="preserve"> </w:t>
      </w:r>
    </w:p>
    <w:p w14:paraId="7F1C7F44" w14:textId="6BD7C959" w:rsidR="00B727C4" w:rsidRDefault="00186589">
      <w:r w:rsidRPr="00186589">
        <w:t>Waggle is an open sensor platform developed at Argonne National Laboratory (ANL) that forms the basis of their Array of Things project.</w:t>
      </w:r>
      <w:r w:rsidR="00C674F9">
        <w:t xml:space="preserve"> </w:t>
      </w:r>
      <w:r w:rsidRPr="00186589">
        <w:t>Array of Things is a smart city effort that seeks to deploy and integrate a variety of data sources and sensors to enable smart city functionality and decision making.</w:t>
      </w:r>
      <w:r w:rsidR="00C674F9">
        <w:t xml:space="preserve"> </w:t>
      </w:r>
      <w:r w:rsidRPr="00186589">
        <w:t>The concept is to utilize wide-area sensor deployment to feed data to a cloud infrastructure to enable analytics, visualization, and finally automated decision making.</w:t>
      </w:r>
      <w:r w:rsidR="00C674F9">
        <w:t xml:space="preserve"> </w:t>
      </w:r>
      <w:r w:rsidRPr="00186589">
        <w:t>An example might be to utilize data from air quality sensor network along with meteorological data to automatically optimize traffic signaling to reduce congestion which in turn should reduce air pollution exposures.</w:t>
      </w:r>
      <w:r w:rsidR="00C674F9">
        <w:t xml:space="preserve"> </w:t>
      </w:r>
      <w:r w:rsidRPr="00186589">
        <w:t>While many embedded sensor systems are built with proprietary OS and software stack, Waggle looks to an open solution that incorporates modularity, extensibility, and security. Their immediate plan over the next few years is the deployment of 500 sensors in the Chicago area. To complement waggle, their open hardware platform, the Array of Things is utilizing an open “back end” platform called plenar.io (</w:t>
      </w:r>
      <w:proofErr w:type="spellStart"/>
      <w:r w:rsidRPr="00186589">
        <w:t>plenario</w:t>
      </w:r>
      <w:proofErr w:type="spellEnd"/>
      <w:r w:rsidRPr="00186589">
        <w:t>).</w:t>
      </w:r>
      <w:r w:rsidR="00C674F9">
        <w:t xml:space="preserve"> </w:t>
      </w:r>
      <w:proofErr w:type="spellStart"/>
      <w:r w:rsidRPr="00186589">
        <w:t>Plenario</w:t>
      </w:r>
      <w:proofErr w:type="spellEnd"/>
      <w:r w:rsidRPr="00186589">
        <w:t xml:space="preserve"> aims to improve the usually large effort in data wrangling needed when dealing with data from disparate sources.</w:t>
      </w:r>
      <w:r w:rsidR="00C674F9">
        <w:t xml:space="preserve"> </w:t>
      </w:r>
      <w:r w:rsidRPr="00186589">
        <w:t xml:space="preserve">It also uses a spatial and temporal index making it easier to query across data sets along </w:t>
      </w:r>
      <w:proofErr w:type="spellStart"/>
      <w:r w:rsidRPr="00186589">
        <w:t>spatio</w:t>
      </w:r>
      <w:proofErr w:type="spellEnd"/>
      <w:r w:rsidRPr="00186589">
        <w:t>-temporal parameters.</w:t>
      </w:r>
      <w:r w:rsidR="00C674F9">
        <w:t xml:space="preserve"> </w:t>
      </w:r>
      <w:proofErr w:type="spellStart"/>
      <w:r w:rsidRPr="00186589">
        <w:t>Plenario</w:t>
      </w:r>
      <w:proofErr w:type="spellEnd"/>
      <w:r w:rsidRPr="00186589">
        <w:t xml:space="preserve"> plans to accomplish this by employing an automated ETL (extract, transform, and load) builder. </w:t>
      </w:r>
      <w:proofErr w:type="spellStart"/>
      <w:r w:rsidRPr="00186589">
        <w:t>Plenario’s</w:t>
      </w:r>
      <w:proofErr w:type="spellEnd"/>
      <w:r w:rsidRPr="00186589">
        <w:t xml:space="preserve"> open code is maintained on GitHub.</w:t>
      </w:r>
      <w:r w:rsidR="00C674F9">
        <w:t xml:space="preserve"> </w:t>
      </w:r>
      <w:proofErr w:type="spellStart"/>
      <w:r w:rsidRPr="00186589">
        <w:t>Plenario</w:t>
      </w:r>
      <w:proofErr w:type="spellEnd"/>
      <w:r w:rsidRPr="00186589">
        <w:t xml:space="preserve"> is funded by the National Science Foundation.</w:t>
      </w:r>
    </w:p>
    <w:p w14:paraId="49422C98" w14:textId="6A8EB7F8" w:rsidR="00B727C4" w:rsidRPr="00C674F9" w:rsidRDefault="00B727C4" w:rsidP="4AC4243B">
      <w:pPr>
        <w:pStyle w:val="Heading1"/>
      </w:pPr>
      <w:r w:rsidRPr="00C674F9">
        <w:lastRenderedPageBreak/>
        <w:t xml:space="preserve">Appendix </w:t>
      </w:r>
      <w:r>
        <w:t>D</w:t>
      </w:r>
      <w:r w:rsidRPr="00C674F9">
        <w:t xml:space="preserve">: </w:t>
      </w:r>
      <w:r w:rsidR="00D37A97">
        <w:t xml:space="preserve">Data Standards </w:t>
      </w:r>
      <w:r>
        <w:t>Team Members</w:t>
      </w:r>
      <w:r w:rsidR="005E1611">
        <w:t xml:space="preserve"> and External Review</w:t>
      </w:r>
    </w:p>
    <w:p w14:paraId="76235B88" w14:textId="77777777" w:rsidR="00D26CBF" w:rsidRDefault="00D26CBF" w:rsidP="4AC4243B"/>
    <w:p w14:paraId="44514582" w14:textId="1FDC62CC" w:rsidR="00D26CBF" w:rsidRDefault="00D26CBF" w:rsidP="007A630C">
      <w:pPr>
        <w:spacing w:after="0"/>
      </w:pPr>
      <w:r>
        <w:t>Phil Dickerson, U.S. Environmental Protection Agency, co-chair</w:t>
      </w:r>
    </w:p>
    <w:p w14:paraId="7CE47400" w14:textId="56DDEE94" w:rsidR="00D26CBF" w:rsidRDefault="00D26CBF" w:rsidP="007A630C">
      <w:pPr>
        <w:spacing w:after="0"/>
      </w:pPr>
      <w:r>
        <w:t>Ethan McMahon, U.S. Environmental Protection Agency, co-chair</w:t>
      </w:r>
    </w:p>
    <w:p w14:paraId="634313CB" w14:textId="1B1674D7" w:rsidR="00D26CBF" w:rsidRDefault="00D26CBF" w:rsidP="007A630C">
      <w:pPr>
        <w:spacing w:after="0"/>
      </w:pPr>
      <w:r>
        <w:t>Dwane Young, U.S. Environmental Protection Agency, co-chair</w:t>
      </w:r>
    </w:p>
    <w:p w14:paraId="3ACC7D9B" w14:textId="36A2AF19" w:rsidR="007A630C" w:rsidRDefault="007A630C" w:rsidP="007A630C">
      <w:pPr>
        <w:spacing w:after="0"/>
      </w:pPr>
      <w:r>
        <w:t>Brian Boling, Oregon Department of Environmental Quality</w:t>
      </w:r>
      <w:r w:rsidR="00C94E46">
        <w:t>, co-chair</w:t>
      </w:r>
      <w:r>
        <w:t xml:space="preserve"> (former)</w:t>
      </w:r>
    </w:p>
    <w:p w14:paraId="1F5B2CE3" w14:textId="0CAF355E" w:rsidR="00D26CBF" w:rsidRDefault="00D26CBF" w:rsidP="007A630C">
      <w:pPr>
        <w:spacing w:after="0"/>
      </w:pPr>
      <w:r>
        <w:t>Robin Thottungal, U.S. Environmental Protection Agency, management lead</w:t>
      </w:r>
    </w:p>
    <w:p w14:paraId="2F58F436" w14:textId="389F1FE8" w:rsidR="00D26CBF" w:rsidRDefault="00D26CBF" w:rsidP="007A630C">
      <w:pPr>
        <w:spacing w:after="0"/>
      </w:pPr>
      <w:r>
        <w:t xml:space="preserve">Robert </w:t>
      </w:r>
      <w:proofErr w:type="spellStart"/>
      <w:r>
        <w:t>Brawner</w:t>
      </w:r>
      <w:proofErr w:type="spellEnd"/>
      <w:r>
        <w:t xml:space="preserve">, Tennessee Department of Environment and Conservation </w:t>
      </w:r>
    </w:p>
    <w:p w14:paraId="029D8B58" w14:textId="4B97C911" w:rsidR="00D26CBF" w:rsidRDefault="00D26CBF" w:rsidP="007A630C">
      <w:pPr>
        <w:spacing w:after="0"/>
      </w:pPr>
      <w:r>
        <w:t>Britt Dean, U.S. Environmental Protection Agency</w:t>
      </w:r>
    </w:p>
    <w:p w14:paraId="70F76CA2" w14:textId="19097D73" w:rsidR="00D26CBF" w:rsidRDefault="00D26CBF" w:rsidP="007A630C">
      <w:pPr>
        <w:spacing w:after="0"/>
      </w:pPr>
      <w:r>
        <w:t>Vasu Kilaru, U.S. Environmental Protection Agency</w:t>
      </w:r>
    </w:p>
    <w:p w14:paraId="5F0F6F80" w14:textId="1C1E6A50" w:rsidR="00D26CBF" w:rsidRDefault="00D26CBF" w:rsidP="007A630C">
      <w:pPr>
        <w:spacing w:after="0"/>
      </w:pPr>
      <w:r>
        <w:t xml:space="preserve">Mike Kusmiesz, New Jersey Department of Environmental Protection </w:t>
      </w:r>
    </w:p>
    <w:p w14:paraId="6E355A96" w14:textId="55E1481E" w:rsidR="00D26CBF" w:rsidRDefault="00D26CBF" w:rsidP="007A630C">
      <w:pPr>
        <w:spacing w:after="0"/>
      </w:pPr>
      <w:r>
        <w:t xml:space="preserve">Tina Laidlaw, U.S. Environmental Protection Agency </w:t>
      </w:r>
    </w:p>
    <w:p w14:paraId="0FE12B93" w14:textId="3E98848F" w:rsidR="00D26CBF" w:rsidRDefault="00D26CBF" w:rsidP="007A630C">
      <w:pPr>
        <w:spacing w:after="0"/>
      </w:pPr>
      <w:r>
        <w:t>Gordon Pierce, Colorado Department of Public Health and Environment</w:t>
      </w:r>
    </w:p>
    <w:p w14:paraId="4C515C46" w14:textId="7C223DBC" w:rsidR="00D26CBF" w:rsidRDefault="00D26CBF" w:rsidP="007A630C">
      <w:pPr>
        <w:spacing w:after="0"/>
      </w:pPr>
      <w:r>
        <w:t xml:space="preserve">Layne Piper, Environmental Council of the States </w:t>
      </w:r>
    </w:p>
    <w:p w14:paraId="684DDA45" w14:textId="48A742B1" w:rsidR="00D26CBF" w:rsidRDefault="00D26CBF" w:rsidP="007A630C">
      <w:pPr>
        <w:spacing w:after="0"/>
      </w:pPr>
      <w:r>
        <w:t>Simone Platukyte, U.S. Environmental Protection Agency</w:t>
      </w:r>
    </w:p>
    <w:p w14:paraId="0DBB780A" w14:textId="53B661A2" w:rsidR="00D26CBF" w:rsidRDefault="00D26CBF" w:rsidP="007A630C">
      <w:pPr>
        <w:spacing w:after="0"/>
      </w:pPr>
      <w:r>
        <w:t>Kelly Poole, Environmental Council of the States</w:t>
      </w:r>
    </w:p>
    <w:p w14:paraId="6BF8CB7B" w14:textId="16CC5BD2" w:rsidR="00D26CBF" w:rsidRDefault="00D26CBF" w:rsidP="007A630C">
      <w:pPr>
        <w:spacing w:after="0"/>
      </w:pPr>
      <w:r>
        <w:t>Dustin Shull, Pennsylvania Department of Environmental Protection</w:t>
      </w:r>
    </w:p>
    <w:p w14:paraId="42A32232" w14:textId="38EB4435" w:rsidR="00D26CBF" w:rsidRDefault="00D26CBF" w:rsidP="007A630C">
      <w:pPr>
        <w:spacing w:after="0"/>
      </w:pPr>
      <w:r>
        <w:t>Laura Shumway, U.S. Environmental Protection Agency</w:t>
      </w:r>
    </w:p>
    <w:p w14:paraId="65471DDA" w14:textId="13C364A7" w:rsidR="007A630C" w:rsidRDefault="007A630C" w:rsidP="007A630C">
      <w:pPr>
        <w:spacing w:after="0"/>
      </w:pPr>
      <w:proofErr w:type="spellStart"/>
      <w:r>
        <w:t>Lorisa</w:t>
      </w:r>
      <w:proofErr w:type="spellEnd"/>
      <w:r>
        <w:t xml:space="preserve"> Smith, Missouri Department of Natural Resources (former)</w:t>
      </w:r>
    </w:p>
    <w:p w14:paraId="0763C364" w14:textId="34A47295" w:rsidR="00D26CBF" w:rsidRDefault="00D26CBF" w:rsidP="007A630C">
      <w:pPr>
        <w:spacing w:after="0"/>
      </w:pPr>
      <w:r>
        <w:t>Dan Sullivan, U.S. Geologic Survey</w:t>
      </w:r>
    </w:p>
    <w:p w14:paraId="67D6E02B" w14:textId="77777777" w:rsidR="005E1611" w:rsidRDefault="00D26CBF" w:rsidP="007A630C">
      <w:pPr>
        <w:spacing w:after="0"/>
      </w:pPr>
      <w:r>
        <w:t>Steve Wolff, Wyoming State Engineer's Office</w:t>
      </w:r>
    </w:p>
    <w:p w14:paraId="11E10FA4" w14:textId="10FAAEE5" w:rsidR="005E1611" w:rsidRDefault="005E1611" w:rsidP="007A630C">
      <w:pPr>
        <w:spacing w:after="0"/>
      </w:pPr>
    </w:p>
    <w:p w14:paraId="7C144441" w14:textId="77777777" w:rsidR="005E1611" w:rsidRDefault="005E1611" w:rsidP="007A630C">
      <w:pPr>
        <w:spacing w:after="0"/>
      </w:pPr>
    </w:p>
    <w:p w14:paraId="1B780E27" w14:textId="48312233" w:rsidR="00B727C4" w:rsidRPr="005E1611" w:rsidRDefault="005E1611" w:rsidP="005E1611">
      <w:pPr>
        <w:pStyle w:val="ListParagraph"/>
        <w:ind w:left="0"/>
        <w:rPr>
          <w:b/>
          <w:bCs/>
        </w:rPr>
      </w:pPr>
      <w:r>
        <w:rPr>
          <w:b/>
          <w:bCs/>
        </w:rPr>
        <w:t>External Review</w:t>
      </w:r>
      <w:r w:rsidRPr="0043445D" w:rsidDel="00C57E22">
        <w:rPr>
          <w:b/>
          <w:bCs/>
        </w:rPr>
        <w:t>:</w:t>
      </w:r>
      <w:r>
        <w:rPr>
          <w:b/>
          <w:bCs/>
        </w:rPr>
        <w:t xml:space="preserve"> </w:t>
      </w:r>
      <w:r>
        <w:rPr>
          <w:bCs/>
        </w:rPr>
        <w:t>The team r</w:t>
      </w:r>
      <w:r w:rsidRPr="00B452CC">
        <w:rPr>
          <w:bCs/>
        </w:rPr>
        <w:t xml:space="preserve">equested and received reviews of the report from </w:t>
      </w:r>
      <w:r>
        <w:rPr>
          <w:bCs/>
        </w:rPr>
        <w:t>several</w:t>
      </w:r>
      <w:r w:rsidRPr="00B452CC">
        <w:rPr>
          <w:bCs/>
        </w:rPr>
        <w:t xml:space="preserve"> federal agencies</w:t>
      </w:r>
      <w:r>
        <w:rPr>
          <w:bCs/>
        </w:rPr>
        <w:t xml:space="preserve">, data standards bodies </w:t>
      </w:r>
      <w:r>
        <w:rPr>
          <w:bCs/>
        </w:rPr>
        <w:t>and users of data standards. The c</w:t>
      </w:r>
      <w:r w:rsidRPr="00B452CC">
        <w:rPr>
          <w:bCs/>
        </w:rPr>
        <w:t>omments were supportive and instructive, indicated this work was timely and very much needed, and provided substantive suggestions which were incorporated into the final version</w:t>
      </w:r>
      <w:r>
        <w:rPr>
          <w:bCs/>
        </w:rPr>
        <w:t>.</w:t>
      </w:r>
      <w:r w:rsidR="00B727C4">
        <w:br w:type="page"/>
      </w:r>
    </w:p>
    <w:sdt>
      <w:sdtPr>
        <w:rPr>
          <w:rFonts w:asciiTheme="minorHAnsi" w:eastAsiaTheme="minorHAnsi" w:hAnsiTheme="minorHAnsi" w:cstheme="minorBidi"/>
          <w:color w:val="auto"/>
          <w:sz w:val="22"/>
          <w:szCs w:val="22"/>
        </w:rPr>
        <w:id w:val="-1924338994"/>
        <w:docPartObj>
          <w:docPartGallery w:val="Bibliographies"/>
          <w:docPartUnique/>
        </w:docPartObj>
      </w:sdtPr>
      <w:sdtContent>
        <w:p w14:paraId="36AB95E4" w14:textId="3389C062" w:rsidR="00571FDB" w:rsidRDefault="00571FDB">
          <w:pPr>
            <w:pStyle w:val="Heading1"/>
          </w:pPr>
          <w:r>
            <w:t>References</w:t>
          </w:r>
        </w:p>
        <w:sdt>
          <w:sdtPr>
            <w:id w:val="-573587230"/>
            <w:bibliography/>
          </w:sdtPr>
          <w:sdtContent>
            <w:p w14:paraId="6916EBA4" w14:textId="77777777" w:rsidR="00C674F9" w:rsidRDefault="00C674F9" w:rsidP="00571FDB">
              <w:pPr>
                <w:pStyle w:val="Bibliography"/>
                <w:ind w:left="720" w:hanging="720"/>
              </w:pPr>
            </w:p>
            <w:p w14:paraId="35539F92" w14:textId="69794A94" w:rsidR="00571FDB" w:rsidRDefault="00571FDB" w:rsidP="00571FDB">
              <w:pPr>
                <w:pStyle w:val="Bibliography"/>
                <w:ind w:left="720" w:hanging="720"/>
                <w:rPr>
                  <w:noProof/>
                  <w:sz w:val="24"/>
                  <w:szCs w:val="24"/>
                </w:rPr>
              </w:pPr>
              <w:r>
                <w:fldChar w:fldCharType="begin"/>
              </w:r>
              <w:r>
                <w:instrText xml:space="preserve"> BIBLIOGRAPHY </w:instrText>
              </w:r>
              <w:r>
                <w:fldChar w:fldCharType="separate"/>
              </w:r>
              <w:r>
                <w:rPr>
                  <w:noProof/>
                </w:rPr>
                <w:t xml:space="preserve">CUAHSI. (2017). </w:t>
              </w:r>
              <w:r>
                <w:rPr>
                  <w:i/>
                  <w:iCs/>
                  <w:noProof/>
                </w:rPr>
                <w:t>Hydrologic Information Service: Standards</w:t>
              </w:r>
              <w:r>
                <w:rPr>
                  <w:noProof/>
                </w:rPr>
                <w:t>. Retrieved March 14, 2017, from Consortium of Universities for the Advancment of Hydrologic Science, Inc. (CUAHSI): http://www.opengeospatial.org/standards/sos</w:t>
              </w:r>
              <w:r w:rsidR="00567B00">
                <w:rPr>
                  <w:noProof/>
                </w:rPr>
                <w:t xml:space="preserve"> </w:t>
              </w:r>
            </w:p>
            <w:p w14:paraId="641D8286" w14:textId="5D6E2C24" w:rsidR="00571FDB" w:rsidRDefault="00571FDB" w:rsidP="00571FDB">
              <w:pPr>
                <w:pStyle w:val="Bibliography"/>
                <w:ind w:left="720" w:hanging="720"/>
                <w:rPr>
                  <w:noProof/>
                </w:rPr>
              </w:pPr>
              <w:r>
                <w:rPr>
                  <w:noProof/>
                </w:rPr>
                <w:t xml:space="preserve">EPA. (2017). </w:t>
              </w:r>
              <w:r>
                <w:rPr>
                  <w:i/>
                  <w:iCs/>
                  <w:noProof/>
                </w:rPr>
                <w:t>Water Quality Exchange</w:t>
              </w:r>
              <w:r>
                <w:rPr>
                  <w:noProof/>
                </w:rPr>
                <w:t>. Retrieved March 14, 2017, from https://www.epa.gov/waterdata/storage-and-retrieval-and-water-quality-exchange</w:t>
              </w:r>
              <w:r w:rsidR="00567B00">
                <w:rPr>
                  <w:noProof/>
                </w:rPr>
                <w:t xml:space="preserve"> </w:t>
              </w:r>
            </w:p>
            <w:p w14:paraId="5B252A64" w14:textId="20D24F55" w:rsidR="00571FDB" w:rsidRDefault="00571FDB" w:rsidP="00571FDB">
              <w:pPr>
                <w:pStyle w:val="Bibliography"/>
                <w:ind w:left="720" w:hanging="720"/>
                <w:rPr>
                  <w:noProof/>
                </w:rPr>
              </w:pPr>
              <w:r>
                <w:rPr>
                  <w:noProof/>
                </w:rPr>
                <w:t xml:space="preserve">EPA Emergency Response Team, E.-E. (2017). </w:t>
              </w:r>
              <w:r>
                <w:rPr>
                  <w:i/>
                  <w:iCs/>
                  <w:noProof/>
                </w:rPr>
                <w:t>Emergency Response Team: VIPER</w:t>
              </w:r>
              <w:r>
                <w:rPr>
                  <w:noProof/>
                </w:rPr>
                <w:t>. Retrieved March 14, 2017, from EPA On-scene Coordinators: https://www.epa.gov/waterdata/storage-and-retrieval-and-water-quality-exchange</w:t>
              </w:r>
              <w:r w:rsidR="00567B00">
                <w:rPr>
                  <w:noProof/>
                </w:rPr>
                <w:t xml:space="preserve"> </w:t>
              </w:r>
            </w:p>
            <w:p w14:paraId="3BD824C1" w14:textId="7ADEC4D4" w:rsidR="00571FDB" w:rsidRDefault="00571FDB" w:rsidP="00571FDB">
              <w:pPr>
                <w:pStyle w:val="Bibliography"/>
                <w:ind w:left="720" w:hanging="720"/>
                <w:rPr>
                  <w:noProof/>
                </w:rPr>
              </w:pPr>
              <w:r>
                <w:rPr>
                  <w:noProof/>
                </w:rPr>
                <w:t xml:space="preserve">IRS. (2017). </w:t>
              </w:r>
              <w:r>
                <w:rPr>
                  <w:i/>
                  <w:iCs/>
                  <w:noProof/>
                </w:rPr>
                <w:t>IRS e-file Rules and Requirements</w:t>
              </w:r>
              <w:r>
                <w:rPr>
                  <w:noProof/>
                </w:rPr>
                <w:t>. Retrieved from IRS e-file Rules and Requirements: https://www.irs.gov/uac/irs-e-file-rules-and-requirements</w:t>
              </w:r>
              <w:r w:rsidR="00567B00">
                <w:rPr>
                  <w:noProof/>
                </w:rPr>
                <w:t xml:space="preserve"> </w:t>
              </w:r>
            </w:p>
            <w:p w14:paraId="6E06E590" w14:textId="77777777" w:rsidR="00571FDB" w:rsidRDefault="00571FDB" w:rsidP="00571FDB">
              <w:pPr>
                <w:pStyle w:val="Bibliography"/>
                <w:ind w:left="720" w:hanging="720"/>
                <w:rPr>
                  <w:noProof/>
                </w:rPr>
              </w:pPr>
              <w:r>
                <w:rPr>
                  <w:noProof/>
                </w:rPr>
                <w:t xml:space="preserve">OFX. (2017). </w:t>
              </w:r>
              <w:r>
                <w:rPr>
                  <w:i/>
                  <w:iCs/>
                  <w:noProof/>
                </w:rPr>
                <w:t>Open Financial Exchange</w:t>
              </w:r>
              <w:r>
                <w:rPr>
                  <w:noProof/>
                </w:rPr>
                <w:t>. Retrieved from Open Financial Exchange: http://www.ofx.net/</w:t>
              </w:r>
            </w:p>
            <w:p w14:paraId="19A1C345" w14:textId="0647FA13" w:rsidR="00571FDB" w:rsidRDefault="00571FDB" w:rsidP="00571FDB">
              <w:pPr>
                <w:pStyle w:val="Bibliography"/>
                <w:ind w:left="720" w:hanging="720"/>
                <w:rPr>
                  <w:noProof/>
                </w:rPr>
              </w:pPr>
              <w:r>
                <w:rPr>
                  <w:noProof/>
                </w:rPr>
                <w:t xml:space="preserve">OGC. (2017). </w:t>
              </w:r>
              <w:r>
                <w:rPr>
                  <w:i/>
                  <w:iCs/>
                  <w:noProof/>
                </w:rPr>
                <w:t>Open Geospatial Consortium</w:t>
              </w:r>
              <w:r>
                <w:rPr>
                  <w:noProof/>
                </w:rPr>
                <w:t>. Retrieved March 14, 2017, from OGC: Sensor Observation Service: http://www.opengeospatial.org/standards/sos</w:t>
              </w:r>
              <w:r w:rsidR="00567B00">
                <w:rPr>
                  <w:noProof/>
                </w:rPr>
                <w:t xml:space="preserve"> </w:t>
              </w:r>
            </w:p>
            <w:p w14:paraId="6DCCEE94" w14:textId="77777777" w:rsidR="00571FDB" w:rsidRDefault="00571FDB" w:rsidP="00571FDB">
              <w:pPr>
                <w:pStyle w:val="Bibliography"/>
                <w:ind w:left="720" w:hanging="720"/>
                <w:rPr>
                  <w:noProof/>
                </w:rPr>
              </w:pPr>
              <w:r>
                <w:rPr>
                  <w:noProof/>
                </w:rPr>
                <w:t xml:space="preserve">UCAR. (2017). </w:t>
              </w:r>
              <w:r>
                <w:rPr>
                  <w:i/>
                  <w:iCs/>
                  <w:noProof/>
                </w:rPr>
                <w:t>University Corporation for Atmospheric Research</w:t>
              </w:r>
              <w:r>
                <w:rPr>
                  <w:noProof/>
                </w:rPr>
                <w:t>. Retrieved March 14, 2017, from Unidata: NetCDF: https://www.unidata.ucar.edu/software/netcdf/docs/faq.html#whatisit</w:t>
              </w:r>
            </w:p>
            <w:p w14:paraId="6FA219C0" w14:textId="68ADD2BD" w:rsidR="00571FDB" w:rsidRDefault="00571FDB" w:rsidP="00832E81">
              <w:pPr>
                <w:pStyle w:val="Bibliography"/>
                <w:ind w:left="720" w:hanging="720"/>
                <w:rPr>
                  <w:noProof/>
                </w:rPr>
              </w:pPr>
              <w:r>
                <w:rPr>
                  <w:noProof/>
                </w:rPr>
                <w:t xml:space="preserve">USGS. (2017). </w:t>
              </w:r>
              <w:r>
                <w:rPr>
                  <w:i/>
                  <w:iCs/>
                  <w:noProof/>
                </w:rPr>
                <w:t>Data Standards</w:t>
              </w:r>
              <w:r>
                <w:rPr>
                  <w:noProof/>
                </w:rPr>
                <w:t>. Retrieved from https://www2.usgs.gov/datamanagement/plan/datastandards.php</w:t>
              </w:r>
              <w:r w:rsidR="00567B00">
                <w:rPr>
                  <w:noProof/>
                </w:rPr>
                <w:t xml:space="preserve"> </w:t>
              </w:r>
              <w:r>
                <w:rPr>
                  <w:b/>
                  <w:bCs/>
                  <w:noProof/>
                </w:rPr>
                <w:fldChar w:fldCharType="end"/>
              </w:r>
            </w:p>
          </w:sdtContent>
        </w:sdt>
      </w:sdtContent>
    </w:sdt>
    <w:p w14:paraId="017C5CB1" w14:textId="26CCBD0B" w:rsidR="00571FDB" w:rsidRDefault="00571FDB" w:rsidP="00192D10"/>
    <w:p w14:paraId="6A446079" w14:textId="0ADC8D8D" w:rsidR="005D6C09" w:rsidRPr="00E410D0" w:rsidRDefault="005D6C09" w:rsidP="00EF13E5">
      <w:pPr>
        <w:rPr>
          <w:b/>
        </w:rPr>
      </w:pPr>
    </w:p>
    <w:sectPr w:rsidR="005D6C09" w:rsidRPr="00E410D0" w:rsidSect="008F5C96">
      <w:pgSz w:w="12240" w:h="15840"/>
      <w:pgMar w:top="720" w:right="1440" w:bottom="5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CF9D45" w14:textId="77777777" w:rsidR="00CC6800" w:rsidRDefault="00CC6800" w:rsidP="00605B1C">
      <w:pPr>
        <w:spacing w:after="0" w:line="240" w:lineRule="auto"/>
      </w:pPr>
      <w:r>
        <w:separator/>
      </w:r>
    </w:p>
  </w:endnote>
  <w:endnote w:type="continuationSeparator" w:id="0">
    <w:p w14:paraId="54407DA6" w14:textId="77777777" w:rsidR="00CC6800" w:rsidRDefault="00CC6800" w:rsidP="00605B1C">
      <w:pPr>
        <w:spacing w:after="0" w:line="240" w:lineRule="auto"/>
      </w:pPr>
      <w:r>
        <w:continuationSeparator/>
      </w:r>
    </w:p>
  </w:endnote>
  <w:endnote w:type="continuationNotice" w:id="1">
    <w:p w14:paraId="17DDCDA6" w14:textId="77777777" w:rsidR="00CC6800" w:rsidRDefault="00CC68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25984AAC-40F6-493A-9502-2F258A3BD42A}"/>
  </w:font>
  <w:font w:name="Times New Roman">
    <w:panose1 w:val="02020603050405020304"/>
    <w:charset w:val="00"/>
    <w:family w:val="roman"/>
    <w:pitch w:val="variable"/>
    <w:sig w:usb0="E0002AFF" w:usb1="C0007843" w:usb2="00000009" w:usb3="00000000" w:csb0="000001FF" w:csb1="00000000"/>
    <w:embedRegular r:id="rId2" w:fontKey="{D305C41B-E9FC-4678-9FA6-5F065F97FFC0}"/>
    <w:embedBold r:id="rId3" w:fontKey="{04DA5CC2-B404-4B47-AFB7-4B58F56E21B1}"/>
    <w:embedItalic r:id="rId4" w:fontKey="{2FEA6FBC-FC8E-4F4A-961E-9A0ED8DC4593}"/>
  </w:font>
  <w:font w:name="Courier New">
    <w:panose1 w:val="02070309020205020404"/>
    <w:charset w:val="00"/>
    <w:family w:val="modern"/>
    <w:pitch w:val="fixed"/>
    <w:sig w:usb0="E0002EFF" w:usb1="C0007843" w:usb2="00000009" w:usb3="00000000" w:csb0="000001FF" w:csb1="00000000"/>
    <w:embedRegular r:id="rId5" w:fontKey="{F923DDCF-9310-4826-8426-311F60646A50}"/>
  </w:font>
  <w:font w:name="Wingdings">
    <w:panose1 w:val="05000000000000000000"/>
    <w:charset w:val="02"/>
    <w:family w:val="auto"/>
    <w:pitch w:val="variable"/>
    <w:sig w:usb0="00000000" w:usb1="10000000" w:usb2="00000000" w:usb3="00000000" w:csb0="80000000" w:csb1="00000000"/>
    <w:embedRegular r:id="rId6" w:fontKey="{24E3AFDA-B73A-4C9A-ABF7-99B3E02E1095}"/>
  </w:font>
  <w:font w:name="Calibri">
    <w:panose1 w:val="020F0502020204030204"/>
    <w:charset w:val="00"/>
    <w:family w:val="swiss"/>
    <w:pitch w:val="variable"/>
    <w:sig w:usb0="E0002AFF" w:usb1="4000ACFF" w:usb2="00000001" w:usb3="00000000" w:csb0="000001FF" w:csb1="00000000"/>
    <w:embedRegular r:id="rId7" w:fontKey="{022E129A-84CF-46F7-AAFD-C3FCF152F00A}"/>
    <w:embedBold r:id="rId8" w:fontKey="{B77EC88A-2A7C-4987-9677-04A9B1BF989E}"/>
    <w:embedItalic r:id="rId9" w:fontKey="{F28EF236-6426-4DF9-9DB4-D84664E77913}"/>
    <w:embedBoldItalic r:id="rId10" w:fontKey="{B445ABC4-D4E0-4720-A277-FC763CAA4A2F}"/>
  </w:font>
  <w:font w:name="Calibri Light">
    <w:panose1 w:val="020F0302020204030204"/>
    <w:charset w:val="00"/>
    <w:family w:val="swiss"/>
    <w:pitch w:val="variable"/>
    <w:sig w:usb0="A0002AEF" w:usb1="4000207B" w:usb2="00000000" w:usb3="00000000" w:csb0="000001FF" w:csb1="00000000"/>
    <w:embedRegular r:id="rId11" w:fontKey="{3E1BA63B-BED2-4904-A13B-97851D14DA1A}"/>
  </w:font>
  <w:font w:name="Segoe UI">
    <w:panose1 w:val="020B0502040204020203"/>
    <w:charset w:val="00"/>
    <w:family w:val="swiss"/>
    <w:pitch w:val="variable"/>
    <w:sig w:usb0="E4002EFF" w:usb1="C000E47F" w:usb2="00000009" w:usb3="00000000" w:csb0="000001FF" w:csb1="00000000"/>
    <w:embedRegular r:id="rId12" w:fontKey="{9883C52D-4804-4C7A-ABB3-D7D20CC03B10}"/>
    <w:embedBold r:id="rId13" w:fontKey="{BFBE2F89-6E64-4A46-8686-1B917F1F0928}"/>
  </w:font>
  <w:font w:name="Meiryo UI">
    <w:panose1 w:val="020B0604030504040204"/>
    <w:charset w:val="80"/>
    <w:family w:val="swiss"/>
    <w:pitch w:val="variable"/>
    <w:sig w:usb0="E00002FF" w:usb1="6AC7FFFF" w:usb2="08000012" w:usb3="00000000" w:csb0="0002009F" w:csb1="00000000"/>
  </w:font>
  <w:font w:name="Verdana">
    <w:panose1 w:val="020B0604030504040204"/>
    <w:charset w:val="00"/>
    <w:family w:val="swiss"/>
    <w:pitch w:val="variable"/>
    <w:sig w:usb0="A10006FF" w:usb1="4000205B" w:usb2="00000010" w:usb3="00000000" w:csb0="0000019F" w:csb1="00000000"/>
    <w:embedRegular r:id="rId14" w:fontKey="{58E0FDED-A177-4FAD-A184-2551F6B5DC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9040135"/>
      <w:docPartObj>
        <w:docPartGallery w:val="Page Numbers (Bottom of Page)"/>
        <w:docPartUnique/>
      </w:docPartObj>
    </w:sdtPr>
    <w:sdtEndPr>
      <w:rPr>
        <w:noProof/>
      </w:rPr>
    </w:sdtEndPr>
    <w:sdtContent>
      <w:p w14:paraId="0203F6D6" w14:textId="2D0E8B8A" w:rsidR="00B452CC" w:rsidRDefault="00B452CC" w:rsidP="00C505DD">
        <w:pPr>
          <w:pStyle w:val="Footer"/>
          <w:jc w:val="center"/>
        </w:pPr>
        <w:r>
          <w:t>Final Report</w:t>
        </w:r>
        <w:r>
          <w:tab/>
        </w:r>
        <w:r>
          <w:tab/>
        </w:r>
        <w:r>
          <w:fldChar w:fldCharType="begin"/>
        </w:r>
        <w:r>
          <w:instrText xml:space="preserve"> PAGE   \* MERGEFORMAT </w:instrText>
        </w:r>
        <w:r>
          <w:fldChar w:fldCharType="separate"/>
        </w:r>
        <w:r w:rsidR="00BA2F97">
          <w:rPr>
            <w:noProof/>
          </w:rPr>
          <w:t>16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C9C17" w14:textId="77777777" w:rsidR="00CC6800" w:rsidRDefault="00CC6800" w:rsidP="00605B1C">
      <w:pPr>
        <w:spacing w:after="0" w:line="240" w:lineRule="auto"/>
      </w:pPr>
      <w:r>
        <w:separator/>
      </w:r>
    </w:p>
  </w:footnote>
  <w:footnote w:type="continuationSeparator" w:id="0">
    <w:p w14:paraId="6543649E" w14:textId="77777777" w:rsidR="00CC6800" w:rsidRDefault="00CC6800" w:rsidP="00605B1C">
      <w:pPr>
        <w:spacing w:after="0" w:line="240" w:lineRule="auto"/>
      </w:pPr>
      <w:r>
        <w:continuationSeparator/>
      </w:r>
    </w:p>
  </w:footnote>
  <w:footnote w:type="continuationNotice" w:id="1">
    <w:p w14:paraId="44DFE547" w14:textId="77777777" w:rsidR="00CC6800" w:rsidRDefault="00CC680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2EAA"/>
    <w:multiLevelType w:val="hybridMultilevel"/>
    <w:tmpl w:val="E1261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C6523"/>
    <w:multiLevelType w:val="hybridMultilevel"/>
    <w:tmpl w:val="E6F26E1A"/>
    <w:lvl w:ilvl="0" w:tplc="E8361D86">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13475"/>
    <w:multiLevelType w:val="hybridMultilevel"/>
    <w:tmpl w:val="4964E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7D625DF"/>
    <w:multiLevelType w:val="hybridMultilevel"/>
    <w:tmpl w:val="0F8CD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344605"/>
    <w:multiLevelType w:val="hybridMultilevel"/>
    <w:tmpl w:val="EA10243C"/>
    <w:lvl w:ilvl="0" w:tplc="A55A13E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0A6326D"/>
    <w:multiLevelType w:val="hybridMultilevel"/>
    <w:tmpl w:val="7FC2A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DA02E6"/>
    <w:multiLevelType w:val="hybridMultilevel"/>
    <w:tmpl w:val="C31A3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8D64DA"/>
    <w:multiLevelType w:val="hybridMultilevel"/>
    <w:tmpl w:val="ADFE7BB6"/>
    <w:lvl w:ilvl="0" w:tplc="2188E94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9D1E80"/>
    <w:multiLevelType w:val="hybridMultilevel"/>
    <w:tmpl w:val="46C6AE3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FFFFFFFF">
      <w:start w:val="1"/>
      <w:numFmt w:val="lowerLetter"/>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266987"/>
    <w:multiLevelType w:val="hybridMultilevel"/>
    <w:tmpl w:val="73E0CC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C4A18D1"/>
    <w:multiLevelType w:val="hybridMultilevel"/>
    <w:tmpl w:val="EA10243C"/>
    <w:lvl w:ilvl="0" w:tplc="A55A13E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D4B220C"/>
    <w:multiLevelType w:val="hybridMultilevel"/>
    <w:tmpl w:val="EA10243C"/>
    <w:lvl w:ilvl="0" w:tplc="A55A13E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B4C6258"/>
    <w:multiLevelType w:val="hybridMultilevel"/>
    <w:tmpl w:val="338E3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B345DC"/>
    <w:multiLevelType w:val="hybridMultilevel"/>
    <w:tmpl w:val="EA10243C"/>
    <w:lvl w:ilvl="0" w:tplc="A55A13E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75341BB"/>
    <w:multiLevelType w:val="multilevel"/>
    <w:tmpl w:val="E37CB102"/>
    <w:lvl w:ilvl="0">
      <w:start w:val="1"/>
      <w:numFmt w:val="bullet"/>
      <w:lvlText w:val=""/>
      <w:lvlJc w:val="left"/>
      <w:pPr>
        <w:tabs>
          <w:tab w:val="num" w:pos="1140"/>
        </w:tabs>
        <w:ind w:left="1140" w:hanging="360"/>
      </w:pPr>
      <w:rPr>
        <w:rFonts w:ascii="Symbol" w:hAnsi="Symbol" w:hint="default"/>
        <w:sz w:val="20"/>
      </w:rPr>
    </w:lvl>
    <w:lvl w:ilvl="1" w:tentative="1">
      <w:start w:val="1"/>
      <w:numFmt w:val="bullet"/>
      <w:lvlText w:val="o"/>
      <w:lvlJc w:val="left"/>
      <w:pPr>
        <w:tabs>
          <w:tab w:val="num" w:pos="1860"/>
        </w:tabs>
        <w:ind w:left="1860" w:hanging="360"/>
      </w:pPr>
      <w:rPr>
        <w:rFonts w:ascii="Courier New" w:hAnsi="Courier New" w:hint="default"/>
        <w:sz w:val="20"/>
      </w:rPr>
    </w:lvl>
    <w:lvl w:ilvl="2" w:tentative="1">
      <w:start w:val="1"/>
      <w:numFmt w:val="bullet"/>
      <w:lvlText w:val=""/>
      <w:lvlJc w:val="left"/>
      <w:pPr>
        <w:tabs>
          <w:tab w:val="num" w:pos="2580"/>
        </w:tabs>
        <w:ind w:left="2580" w:hanging="360"/>
      </w:pPr>
      <w:rPr>
        <w:rFonts w:ascii="Wingdings" w:hAnsi="Wingdings" w:hint="default"/>
        <w:sz w:val="20"/>
      </w:rPr>
    </w:lvl>
    <w:lvl w:ilvl="3" w:tentative="1">
      <w:start w:val="1"/>
      <w:numFmt w:val="bullet"/>
      <w:lvlText w:val=""/>
      <w:lvlJc w:val="left"/>
      <w:pPr>
        <w:tabs>
          <w:tab w:val="num" w:pos="3300"/>
        </w:tabs>
        <w:ind w:left="3300" w:hanging="360"/>
      </w:pPr>
      <w:rPr>
        <w:rFonts w:ascii="Wingdings" w:hAnsi="Wingdings" w:hint="default"/>
        <w:sz w:val="20"/>
      </w:rPr>
    </w:lvl>
    <w:lvl w:ilvl="4" w:tentative="1">
      <w:start w:val="1"/>
      <w:numFmt w:val="bullet"/>
      <w:lvlText w:val=""/>
      <w:lvlJc w:val="left"/>
      <w:pPr>
        <w:tabs>
          <w:tab w:val="num" w:pos="4020"/>
        </w:tabs>
        <w:ind w:left="4020" w:hanging="360"/>
      </w:pPr>
      <w:rPr>
        <w:rFonts w:ascii="Wingdings" w:hAnsi="Wingdings" w:hint="default"/>
        <w:sz w:val="20"/>
      </w:rPr>
    </w:lvl>
    <w:lvl w:ilvl="5" w:tentative="1">
      <w:start w:val="1"/>
      <w:numFmt w:val="bullet"/>
      <w:lvlText w:val=""/>
      <w:lvlJc w:val="left"/>
      <w:pPr>
        <w:tabs>
          <w:tab w:val="num" w:pos="4740"/>
        </w:tabs>
        <w:ind w:left="4740" w:hanging="360"/>
      </w:pPr>
      <w:rPr>
        <w:rFonts w:ascii="Wingdings" w:hAnsi="Wingdings" w:hint="default"/>
        <w:sz w:val="20"/>
      </w:rPr>
    </w:lvl>
    <w:lvl w:ilvl="6" w:tentative="1">
      <w:start w:val="1"/>
      <w:numFmt w:val="bullet"/>
      <w:lvlText w:val=""/>
      <w:lvlJc w:val="left"/>
      <w:pPr>
        <w:tabs>
          <w:tab w:val="num" w:pos="5460"/>
        </w:tabs>
        <w:ind w:left="5460" w:hanging="360"/>
      </w:pPr>
      <w:rPr>
        <w:rFonts w:ascii="Wingdings" w:hAnsi="Wingdings" w:hint="default"/>
        <w:sz w:val="20"/>
      </w:rPr>
    </w:lvl>
    <w:lvl w:ilvl="7" w:tentative="1">
      <w:start w:val="1"/>
      <w:numFmt w:val="bullet"/>
      <w:lvlText w:val=""/>
      <w:lvlJc w:val="left"/>
      <w:pPr>
        <w:tabs>
          <w:tab w:val="num" w:pos="6180"/>
        </w:tabs>
        <w:ind w:left="6180" w:hanging="360"/>
      </w:pPr>
      <w:rPr>
        <w:rFonts w:ascii="Wingdings" w:hAnsi="Wingdings" w:hint="default"/>
        <w:sz w:val="20"/>
      </w:rPr>
    </w:lvl>
    <w:lvl w:ilvl="8" w:tentative="1">
      <w:start w:val="1"/>
      <w:numFmt w:val="bullet"/>
      <w:lvlText w:val=""/>
      <w:lvlJc w:val="left"/>
      <w:pPr>
        <w:tabs>
          <w:tab w:val="num" w:pos="6900"/>
        </w:tabs>
        <w:ind w:left="6900" w:hanging="360"/>
      </w:pPr>
      <w:rPr>
        <w:rFonts w:ascii="Wingdings" w:hAnsi="Wingdings" w:hint="default"/>
        <w:sz w:val="20"/>
      </w:rPr>
    </w:lvl>
  </w:abstractNum>
  <w:abstractNum w:abstractNumId="15" w15:restartNumberingAfterBreak="0">
    <w:nsid w:val="585C05D1"/>
    <w:multiLevelType w:val="hybridMultilevel"/>
    <w:tmpl w:val="F0687D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AB3E0B"/>
    <w:multiLevelType w:val="hybridMultilevel"/>
    <w:tmpl w:val="EA10243C"/>
    <w:lvl w:ilvl="0" w:tplc="A55A13E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B644850"/>
    <w:multiLevelType w:val="hybridMultilevel"/>
    <w:tmpl w:val="E326CB8C"/>
    <w:lvl w:ilvl="0" w:tplc="3C0038B4">
      <w:start w:val="1"/>
      <w:numFmt w:val="bullet"/>
      <w:lvlText w:val=""/>
      <w:lvlJc w:val="left"/>
      <w:pPr>
        <w:ind w:left="720" w:hanging="360"/>
      </w:pPr>
      <w:rPr>
        <w:rFonts w:ascii="Symbol" w:hAnsi="Symbol" w:hint="default"/>
      </w:rPr>
    </w:lvl>
    <w:lvl w:ilvl="1" w:tplc="9C5E349E">
      <w:start w:val="1"/>
      <w:numFmt w:val="bullet"/>
      <w:lvlText w:val="o"/>
      <w:lvlJc w:val="left"/>
      <w:pPr>
        <w:ind w:left="1440" w:hanging="360"/>
      </w:pPr>
      <w:rPr>
        <w:rFonts w:ascii="Courier New" w:hAnsi="Courier New" w:hint="default"/>
      </w:rPr>
    </w:lvl>
    <w:lvl w:ilvl="2" w:tplc="1F5EA212">
      <w:start w:val="1"/>
      <w:numFmt w:val="bullet"/>
      <w:lvlText w:val=""/>
      <w:lvlJc w:val="left"/>
      <w:pPr>
        <w:ind w:left="2160" w:hanging="360"/>
      </w:pPr>
      <w:rPr>
        <w:rFonts w:ascii="Wingdings" w:hAnsi="Wingdings" w:hint="default"/>
      </w:rPr>
    </w:lvl>
    <w:lvl w:ilvl="3" w:tplc="2F96DF8A">
      <w:start w:val="1"/>
      <w:numFmt w:val="bullet"/>
      <w:lvlText w:val=""/>
      <w:lvlJc w:val="left"/>
      <w:pPr>
        <w:ind w:left="2880" w:hanging="360"/>
      </w:pPr>
      <w:rPr>
        <w:rFonts w:ascii="Symbol" w:hAnsi="Symbol" w:hint="default"/>
      </w:rPr>
    </w:lvl>
    <w:lvl w:ilvl="4" w:tplc="458EB392">
      <w:start w:val="1"/>
      <w:numFmt w:val="bullet"/>
      <w:lvlText w:val="o"/>
      <w:lvlJc w:val="left"/>
      <w:pPr>
        <w:ind w:left="3600" w:hanging="360"/>
      </w:pPr>
      <w:rPr>
        <w:rFonts w:ascii="Courier New" w:hAnsi="Courier New" w:hint="default"/>
      </w:rPr>
    </w:lvl>
    <w:lvl w:ilvl="5" w:tplc="5EBA9A7E">
      <w:start w:val="1"/>
      <w:numFmt w:val="bullet"/>
      <w:lvlText w:val=""/>
      <w:lvlJc w:val="left"/>
      <w:pPr>
        <w:ind w:left="4320" w:hanging="360"/>
      </w:pPr>
      <w:rPr>
        <w:rFonts w:ascii="Wingdings" w:hAnsi="Wingdings" w:hint="default"/>
      </w:rPr>
    </w:lvl>
    <w:lvl w:ilvl="6" w:tplc="475C1CF4">
      <w:start w:val="1"/>
      <w:numFmt w:val="bullet"/>
      <w:lvlText w:val=""/>
      <w:lvlJc w:val="left"/>
      <w:pPr>
        <w:ind w:left="5040" w:hanging="360"/>
      </w:pPr>
      <w:rPr>
        <w:rFonts w:ascii="Symbol" w:hAnsi="Symbol" w:hint="default"/>
      </w:rPr>
    </w:lvl>
    <w:lvl w:ilvl="7" w:tplc="43521612">
      <w:start w:val="1"/>
      <w:numFmt w:val="bullet"/>
      <w:lvlText w:val="o"/>
      <w:lvlJc w:val="left"/>
      <w:pPr>
        <w:ind w:left="5760" w:hanging="360"/>
      </w:pPr>
      <w:rPr>
        <w:rFonts w:ascii="Courier New" w:hAnsi="Courier New" w:hint="default"/>
      </w:rPr>
    </w:lvl>
    <w:lvl w:ilvl="8" w:tplc="2BC0CF52">
      <w:start w:val="1"/>
      <w:numFmt w:val="bullet"/>
      <w:lvlText w:val=""/>
      <w:lvlJc w:val="left"/>
      <w:pPr>
        <w:ind w:left="6480" w:hanging="360"/>
      </w:pPr>
      <w:rPr>
        <w:rFonts w:ascii="Wingdings" w:hAnsi="Wingdings" w:hint="default"/>
      </w:rPr>
    </w:lvl>
  </w:abstractNum>
  <w:abstractNum w:abstractNumId="18" w15:restartNumberingAfterBreak="0">
    <w:nsid w:val="61694AB7"/>
    <w:multiLevelType w:val="hybridMultilevel"/>
    <w:tmpl w:val="2E34D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C63FE2"/>
    <w:multiLevelType w:val="hybridMultilevel"/>
    <w:tmpl w:val="EECA4B9A"/>
    <w:lvl w:ilvl="0" w:tplc="2188E94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1070BF"/>
    <w:multiLevelType w:val="hybridMultilevel"/>
    <w:tmpl w:val="46C6AE3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FFFFFFFF">
      <w:start w:val="1"/>
      <w:numFmt w:val="lowerLetter"/>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9E7511"/>
    <w:multiLevelType w:val="hybridMultilevel"/>
    <w:tmpl w:val="BB52E9D0"/>
    <w:lvl w:ilvl="0" w:tplc="782CB5F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3127E1"/>
    <w:multiLevelType w:val="hybridMultilevel"/>
    <w:tmpl w:val="46F0E6B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15:restartNumberingAfterBreak="0">
    <w:nsid w:val="72476910"/>
    <w:multiLevelType w:val="hybridMultilevel"/>
    <w:tmpl w:val="BF546B10"/>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4" w15:restartNumberingAfterBreak="0">
    <w:nsid w:val="741D4FA7"/>
    <w:multiLevelType w:val="hybridMultilevel"/>
    <w:tmpl w:val="57CA5E48"/>
    <w:lvl w:ilvl="0" w:tplc="C9F4207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4A7491"/>
    <w:multiLevelType w:val="multilevel"/>
    <w:tmpl w:val="70A28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5D36BC0"/>
    <w:multiLevelType w:val="hybridMultilevel"/>
    <w:tmpl w:val="AAD07E38"/>
    <w:lvl w:ilvl="0" w:tplc="C03C7606">
      <w:start w:val="1"/>
      <w:numFmt w:val="bullet"/>
      <w:pStyle w:val="SBul1-Line"/>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7C1A27"/>
    <w:multiLevelType w:val="hybridMultilevel"/>
    <w:tmpl w:val="31169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7168D8"/>
    <w:multiLevelType w:val="hybridMultilevel"/>
    <w:tmpl w:val="12AE2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0"/>
  </w:num>
  <w:num w:numId="3">
    <w:abstractNumId w:val="2"/>
  </w:num>
  <w:num w:numId="4">
    <w:abstractNumId w:val="13"/>
  </w:num>
  <w:num w:numId="5">
    <w:abstractNumId w:val="8"/>
  </w:num>
  <w:num w:numId="6">
    <w:abstractNumId w:val="22"/>
  </w:num>
  <w:num w:numId="7">
    <w:abstractNumId w:val="15"/>
  </w:num>
  <w:num w:numId="8">
    <w:abstractNumId w:val="14"/>
  </w:num>
  <w:num w:numId="9">
    <w:abstractNumId w:val="25"/>
  </w:num>
  <w:num w:numId="10">
    <w:abstractNumId w:val="24"/>
  </w:num>
  <w:num w:numId="11">
    <w:abstractNumId w:val="21"/>
  </w:num>
  <w:num w:numId="12">
    <w:abstractNumId w:val="1"/>
  </w:num>
  <w:num w:numId="13">
    <w:abstractNumId w:val="6"/>
  </w:num>
  <w:num w:numId="14">
    <w:abstractNumId w:val="12"/>
  </w:num>
  <w:num w:numId="15">
    <w:abstractNumId w:val="3"/>
  </w:num>
  <w:num w:numId="16">
    <w:abstractNumId w:val="28"/>
  </w:num>
  <w:num w:numId="17">
    <w:abstractNumId w:val="9"/>
  </w:num>
  <w:num w:numId="18">
    <w:abstractNumId w:val="27"/>
  </w:num>
  <w:num w:numId="19">
    <w:abstractNumId w:val="18"/>
  </w:num>
  <w:num w:numId="20">
    <w:abstractNumId w:val="26"/>
  </w:num>
  <w:num w:numId="21">
    <w:abstractNumId w:val="10"/>
  </w:num>
  <w:num w:numId="22">
    <w:abstractNumId w:val="4"/>
  </w:num>
  <w:num w:numId="23">
    <w:abstractNumId w:val="23"/>
  </w:num>
  <w:num w:numId="24">
    <w:abstractNumId w:val="11"/>
  </w:num>
  <w:num w:numId="25">
    <w:abstractNumId w:val="16"/>
  </w:num>
  <w:num w:numId="26">
    <w:abstractNumId w:val="0"/>
  </w:num>
  <w:num w:numId="27">
    <w:abstractNumId w:val="5"/>
  </w:num>
  <w:num w:numId="28">
    <w:abstractNumId w:val="19"/>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C575E1B2-B08E-4A04-9083-D97F033EDDC7}"/>
    <w:docVar w:name="dgnword-eventsink" w:val="201530832"/>
  </w:docVars>
  <w:rsids>
    <w:rsidRoot w:val="005D49AF"/>
    <w:rsid w:val="00003217"/>
    <w:rsid w:val="000105B8"/>
    <w:rsid w:val="0001610F"/>
    <w:rsid w:val="00024D2B"/>
    <w:rsid w:val="000255D8"/>
    <w:rsid w:val="00030484"/>
    <w:rsid w:val="000347EA"/>
    <w:rsid w:val="00040C64"/>
    <w:rsid w:val="00042674"/>
    <w:rsid w:val="0004331D"/>
    <w:rsid w:val="00052A41"/>
    <w:rsid w:val="000530E0"/>
    <w:rsid w:val="00056820"/>
    <w:rsid w:val="00057C0A"/>
    <w:rsid w:val="00061681"/>
    <w:rsid w:val="000618EE"/>
    <w:rsid w:val="000647F1"/>
    <w:rsid w:val="000818D7"/>
    <w:rsid w:val="00083EC7"/>
    <w:rsid w:val="00084117"/>
    <w:rsid w:val="00086470"/>
    <w:rsid w:val="00087A33"/>
    <w:rsid w:val="00093BE5"/>
    <w:rsid w:val="00096753"/>
    <w:rsid w:val="000A28BE"/>
    <w:rsid w:val="000A5A14"/>
    <w:rsid w:val="000C023B"/>
    <w:rsid w:val="000C6C05"/>
    <w:rsid w:val="000D7D03"/>
    <w:rsid w:val="000E7AF7"/>
    <w:rsid w:val="000F1E53"/>
    <w:rsid w:val="000F3405"/>
    <w:rsid w:val="0010180E"/>
    <w:rsid w:val="00103A59"/>
    <w:rsid w:val="0011434A"/>
    <w:rsid w:val="0011F0B2"/>
    <w:rsid w:val="00121518"/>
    <w:rsid w:val="00121C85"/>
    <w:rsid w:val="00122151"/>
    <w:rsid w:val="00126B1D"/>
    <w:rsid w:val="00136775"/>
    <w:rsid w:val="00137465"/>
    <w:rsid w:val="00141001"/>
    <w:rsid w:val="00143D6F"/>
    <w:rsid w:val="00146597"/>
    <w:rsid w:val="001502AB"/>
    <w:rsid w:val="00160D72"/>
    <w:rsid w:val="00162319"/>
    <w:rsid w:val="001662C4"/>
    <w:rsid w:val="0016748D"/>
    <w:rsid w:val="00186589"/>
    <w:rsid w:val="00186F9B"/>
    <w:rsid w:val="00192D10"/>
    <w:rsid w:val="0019363A"/>
    <w:rsid w:val="001952EE"/>
    <w:rsid w:val="00197FDE"/>
    <w:rsid w:val="001A118F"/>
    <w:rsid w:val="001A6D21"/>
    <w:rsid w:val="001A6FCD"/>
    <w:rsid w:val="001A7253"/>
    <w:rsid w:val="001A737C"/>
    <w:rsid w:val="001B0469"/>
    <w:rsid w:val="001C12B3"/>
    <w:rsid w:val="001D1485"/>
    <w:rsid w:val="001D2607"/>
    <w:rsid w:val="001D3A16"/>
    <w:rsid w:val="001D5E47"/>
    <w:rsid w:val="001D7F80"/>
    <w:rsid w:val="001F1FA4"/>
    <w:rsid w:val="00202589"/>
    <w:rsid w:val="00205BBC"/>
    <w:rsid w:val="0021293A"/>
    <w:rsid w:val="0021418A"/>
    <w:rsid w:val="002157D5"/>
    <w:rsid w:val="00215CE9"/>
    <w:rsid w:val="0023235F"/>
    <w:rsid w:val="00236901"/>
    <w:rsid w:val="00247316"/>
    <w:rsid w:val="00256288"/>
    <w:rsid w:val="0026641F"/>
    <w:rsid w:val="00274799"/>
    <w:rsid w:val="00276152"/>
    <w:rsid w:val="00291681"/>
    <w:rsid w:val="00291C52"/>
    <w:rsid w:val="00292D39"/>
    <w:rsid w:val="002A553B"/>
    <w:rsid w:val="002B3578"/>
    <w:rsid w:val="002B7E7E"/>
    <w:rsid w:val="002C2675"/>
    <w:rsid w:val="002C33E0"/>
    <w:rsid w:val="002D0519"/>
    <w:rsid w:val="002D06C9"/>
    <w:rsid w:val="002D0BAF"/>
    <w:rsid w:val="002D2943"/>
    <w:rsid w:val="002D3B6D"/>
    <w:rsid w:val="002D54D5"/>
    <w:rsid w:val="002D6899"/>
    <w:rsid w:val="002E1A47"/>
    <w:rsid w:val="002E2058"/>
    <w:rsid w:val="002E5188"/>
    <w:rsid w:val="002F5E49"/>
    <w:rsid w:val="002F699C"/>
    <w:rsid w:val="00301981"/>
    <w:rsid w:val="00305D01"/>
    <w:rsid w:val="003111A1"/>
    <w:rsid w:val="00322C31"/>
    <w:rsid w:val="00323CD2"/>
    <w:rsid w:val="0033374C"/>
    <w:rsid w:val="00345281"/>
    <w:rsid w:val="0035330E"/>
    <w:rsid w:val="00355AD8"/>
    <w:rsid w:val="003560E4"/>
    <w:rsid w:val="00357735"/>
    <w:rsid w:val="00362A83"/>
    <w:rsid w:val="00365B12"/>
    <w:rsid w:val="003845C9"/>
    <w:rsid w:val="003847E0"/>
    <w:rsid w:val="00385831"/>
    <w:rsid w:val="003968D2"/>
    <w:rsid w:val="003A014B"/>
    <w:rsid w:val="003B1A9D"/>
    <w:rsid w:val="003B367F"/>
    <w:rsid w:val="003C704E"/>
    <w:rsid w:val="003C747C"/>
    <w:rsid w:val="003D0B8A"/>
    <w:rsid w:val="003E70A3"/>
    <w:rsid w:val="003F6E1C"/>
    <w:rsid w:val="003F7A27"/>
    <w:rsid w:val="004134AC"/>
    <w:rsid w:val="00415156"/>
    <w:rsid w:val="00421B03"/>
    <w:rsid w:val="004245C3"/>
    <w:rsid w:val="00432A7A"/>
    <w:rsid w:val="0043445D"/>
    <w:rsid w:val="004367BA"/>
    <w:rsid w:val="0043762D"/>
    <w:rsid w:val="004421C1"/>
    <w:rsid w:val="00463804"/>
    <w:rsid w:val="00471516"/>
    <w:rsid w:val="00480348"/>
    <w:rsid w:val="004861CC"/>
    <w:rsid w:val="00494A88"/>
    <w:rsid w:val="004A4FFB"/>
    <w:rsid w:val="004A60A9"/>
    <w:rsid w:val="004A7BBF"/>
    <w:rsid w:val="004B10BA"/>
    <w:rsid w:val="004C2F7B"/>
    <w:rsid w:val="004D11B3"/>
    <w:rsid w:val="004D3646"/>
    <w:rsid w:val="004D3AC0"/>
    <w:rsid w:val="004E3F3F"/>
    <w:rsid w:val="004F3C7A"/>
    <w:rsid w:val="00500C74"/>
    <w:rsid w:val="00511665"/>
    <w:rsid w:val="00514000"/>
    <w:rsid w:val="00520C0C"/>
    <w:rsid w:val="0053443C"/>
    <w:rsid w:val="00545C31"/>
    <w:rsid w:val="00551117"/>
    <w:rsid w:val="005559DB"/>
    <w:rsid w:val="0056260A"/>
    <w:rsid w:val="00562F52"/>
    <w:rsid w:val="00567B00"/>
    <w:rsid w:val="00570785"/>
    <w:rsid w:val="00571FDB"/>
    <w:rsid w:val="00574FAB"/>
    <w:rsid w:val="0058312F"/>
    <w:rsid w:val="00592EAF"/>
    <w:rsid w:val="005A379C"/>
    <w:rsid w:val="005A447E"/>
    <w:rsid w:val="005B1A14"/>
    <w:rsid w:val="005C4D97"/>
    <w:rsid w:val="005D2256"/>
    <w:rsid w:val="005D49AF"/>
    <w:rsid w:val="005D6751"/>
    <w:rsid w:val="005D6C09"/>
    <w:rsid w:val="005E1611"/>
    <w:rsid w:val="005E5F5A"/>
    <w:rsid w:val="005F3F31"/>
    <w:rsid w:val="006010BD"/>
    <w:rsid w:val="00605B1C"/>
    <w:rsid w:val="006121BE"/>
    <w:rsid w:val="00621D71"/>
    <w:rsid w:val="006228DE"/>
    <w:rsid w:val="00624C64"/>
    <w:rsid w:val="006323A0"/>
    <w:rsid w:val="00632AA5"/>
    <w:rsid w:val="0064144F"/>
    <w:rsid w:val="00644467"/>
    <w:rsid w:val="0065247C"/>
    <w:rsid w:val="006532A3"/>
    <w:rsid w:val="006572BD"/>
    <w:rsid w:val="006724C4"/>
    <w:rsid w:val="00672E2B"/>
    <w:rsid w:val="006764F5"/>
    <w:rsid w:val="0067670E"/>
    <w:rsid w:val="00677299"/>
    <w:rsid w:val="00677BC4"/>
    <w:rsid w:val="006818C7"/>
    <w:rsid w:val="006819E2"/>
    <w:rsid w:val="0068393E"/>
    <w:rsid w:val="00686220"/>
    <w:rsid w:val="00693CFE"/>
    <w:rsid w:val="006971B7"/>
    <w:rsid w:val="00697D3C"/>
    <w:rsid w:val="006A30FB"/>
    <w:rsid w:val="006A4E81"/>
    <w:rsid w:val="006B5197"/>
    <w:rsid w:val="006B5609"/>
    <w:rsid w:val="006C00B4"/>
    <w:rsid w:val="006C71C3"/>
    <w:rsid w:val="006D2B7F"/>
    <w:rsid w:val="006D3D07"/>
    <w:rsid w:val="006F2FC3"/>
    <w:rsid w:val="006F34B8"/>
    <w:rsid w:val="006F350C"/>
    <w:rsid w:val="006F3E02"/>
    <w:rsid w:val="006F64D6"/>
    <w:rsid w:val="006F7436"/>
    <w:rsid w:val="00701CE1"/>
    <w:rsid w:val="007020E8"/>
    <w:rsid w:val="007021C9"/>
    <w:rsid w:val="0070424A"/>
    <w:rsid w:val="00726C99"/>
    <w:rsid w:val="00732F75"/>
    <w:rsid w:val="00733D2E"/>
    <w:rsid w:val="00750297"/>
    <w:rsid w:val="00752EB1"/>
    <w:rsid w:val="00753FE4"/>
    <w:rsid w:val="007771A2"/>
    <w:rsid w:val="00784D3B"/>
    <w:rsid w:val="00795A6E"/>
    <w:rsid w:val="007965CD"/>
    <w:rsid w:val="007966C7"/>
    <w:rsid w:val="0079675C"/>
    <w:rsid w:val="007A4263"/>
    <w:rsid w:val="007A630C"/>
    <w:rsid w:val="007C3F23"/>
    <w:rsid w:val="007C64DD"/>
    <w:rsid w:val="007D4BFF"/>
    <w:rsid w:val="007E3BD1"/>
    <w:rsid w:val="007E75AC"/>
    <w:rsid w:val="007F0FC7"/>
    <w:rsid w:val="007F309D"/>
    <w:rsid w:val="008041ED"/>
    <w:rsid w:val="008229D7"/>
    <w:rsid w:val="00825C8E"/>
    <w:rsid w:val="00827FF7"/>
    <w:rsid w:val="00832E81"/>
    <w:rsid w:val="00833BE0"/>
    <w:rsid w:val="00835E30"/>
    <w:rsid w:val="00836549"/>
    <w:rsid w:val="00840E94"/>
    <w:rsid w:val="0086027C"/>
    <w:rsid w:val="00862754"/>
    <w:rsid w:val="00863508"/>
    <w:rsid w:val="008638AE"/>
    <w:rsid w:val="008718F1"/>
    <w:rsid w:val="0087263C"/>
    <w:rsid w:val="00872D6B"/>
    <w:rsid w:val="008A1B14"/>
    <w:rsid w:val="008A369C"/>
    <w:rsid w:val="008A4338"/>
    <w:rsid w:val="008A448D"/>
    <w:rsid w:val="008C54F3"/>
    <w:rsid w:val="008D2F45"/>
    <w:rsid w:val="008D5F75"/>
    <w:rsid w:val="008F2D8A"/>
    <w:rsid w:val="008F5C96"/>
    <w:rsid w:val="009022DA"/>
    <w:rsid w:val="00902414"/>
    <w:rsid w:val="00902DF1"/>
    <w:rsid w:val="0090750C"/>
    <w:rsid w:val="00907886"/>
    <w:rsid w:val="00936CD5"/>
    <w:rsid w:val="00951034"/>
    <w:rsid w:val="0095218E"/>
    <w:rsid w:val="00952367"/>
    <w:rsid w:val="00954211"/>
    <w:rsid w:val="009570A6"/>
    <w:rsid w:val="00960518"/>
    <w:rsid w:val="0096092A"/>
    <w:rsid w:val="00963DCD"/>
    <w:rsid w:val="00971BAE"/>
    <w:rsid w:val="00973660"/>
    <w:rsid w:val="009845B3"/>
    <w:rsid w:val="00986B2C"/>
    <w:rsid w:val="00990F39"/>
    <w:rsid w:val="009A4CBC"/>
    <w:rsid w:val="009B05D1"/>
    <w:rsid w:val="009B48FA"/>
    <w:rsid w:val="009C1FDF"/>
    <w:rsid w:val="009C587E"/>
    <w:rsid w:val="009C5BF5"/>
    <w:rsid w:val="009C5F1C"/>
    <w:rsid w:val="009D2B0C"/>
    <w:rsid w:val="009D7B01"/>
    <w:rsid w:val="009E179B"/>
    <w:rsid w:val="009E7C02"/>
    <w:rsid w:val="009F032E"/>
    <w:rsid w:val="009F4D5C"/>
    <w:rsid w:val="009F5685"/>
    <w:rsid w:val="00A03466"/>
    <w:rsid w:val="00A07BC2"/>
    <w:rsid w:val="00A11147"/>
    <w:rsid w:val="00A11F9C"/>
    <w:rsid w:val="00A171E4"/>
    <w:rsid w:val="00A21B87"/>
    <w:rsid w:val="00A21CA1"/>
    <w:rsid w:val="00A264E5"/>
    <w:rsid w:val="00A44C3C"/>
    <w:rsid w:val="00A61DA0"/>
    <w:rsid w:val="00A63EDF"/>
    <w:rsid w:val="00A74E41"/>
    <w:rsid w:val="00A8084B"/>
    <w:rsid w:val="00A827D5"/>
    <w:rsid w:val="00A84E3C"/>
    <w:rsid w:val="00A86163"/>
    <w:rsid w:val="00A90976"/>
    <w:rsid w:val="00AA0E8C"/>
    <w:rsid w:val="00AA7F9A"/>
    <w:rsid w:val="00AB2732"/>
    <w:rsid w:val="00AB3B9B"/>
    <w:rsid w:val="00AB449D"/>
    <w:rsid w:val="00AB5F0F"/>
    <w:rsid w:val="00AB6D4C"/>
    <w:rsid w:val="00AC0087"/>
    <w:rsid w:val="00AC284C"/>
    <w:rsid w:val="00AC77B2"/>
    <w:rsid w:val="00AD0286"/>
    <w:rsid w:val="00AD0DE1"/>
    <w:rsid w:val="00AD3A51"/>
    <w:rsid w:val="00AD4566"/>
    <w:rsid w:val="00AD4FA4"/>
    <w:rsid w:val="00AF1554"/>
    <w:rsid w:val="00B13C15"/>
    <w:rsid w:val="00B21EB2"/>
    <w:rsid w:val="00B231F3"/>
    <w:rsid w:val="00B2334F"/>
    <w:rsid w:val="00B27999"/>
    <w:rsid w:val="00B30F65"/>
    <w:rsid w:val="00B452CC"/>
    <w:rsid w:val="00B501AB"/>
    <w:rsid w:val="00B56C9B"/>
    <w:rsid w:val="00B604D2"/>
    <w:rsid w:val="00B6417A"/>
    <w:rsid w:val="00B64B58"/>
    <w:rsid w:val="00B64FB2"/>
    <w:rsid w:val="00B727C4"/>
    <w:rsid w:val="00B74472"/>
    <w:rsid w:val="00B769E4"/>
    <w:rsid w:val="00B82D2E"/>
    <w:rsid w:val="00B834A5"/>
    <w:rsid w:val="00B85ABA"/>
    <w:rsid w:val="00B87665"/>
    <w:rsid w:val="00B94B9D"/>
    <w:rsid w:val="00B96518"/>
    <w:rsid w:val="00BA2D04"/>
    <w:rsid w:val="00BA2F97"/>
    <w:rsid w:val="00BA4E91"/>
    <w:rsid w:val="00BB13A0"/>
    <w:rsid w:val="00BB441F"/>
    <w:rsid w:val="00BB5081"/>
    <w:rsid w:val="00BC57E9"/>
    <w:rsid w:val="00BD4754"/>
    <w:rsid w:val="00BE0030"/>
    <w:rsid w:val="00BE6C3E"/>
    <w:rsid w:val="00C000E5"/>
    <w:rsid w:val="00C00A27"/>
    <w:rsid w:val="00C079F2"/>
    <w:rsid w:val="00C16E0F"/>
    <w:rsid w:val="00C173E5"/>
    <w:rsid w:val="00C17D18"/>
    <w:rsid w:val="00C21F53"/>
    <w:rsid w:val="00C225C6"/>
    <w:rsid w:val="00C22E13"/>
    <w:rsid w:val="00C30B0E"/>
    <w:rsid w:val="00C4143B"/>
    <w:rsid w:val="00C46C37"/>
    <w:rsid w:val="00C505DD"/>
    <w:rsid w:val="00C513D4"/>
    <w:rsid w:val="00C57E22"/>
    <w:rsid w:val="00C614B7"/>
    <w:rsid w:val="00C654EB"/>
    <w:rsid w:val="00C674F9"/>
    <w:rsid w:val="00C72968"/>
    <w:rsid w:val="00C763FF"/>
    <w:rsid w:val="00C81B84"/>
    <w:rsid w:val="00C825BB"/>
    <w:rsid w:val="00C8383E"/>
    <w:rsid w:val="00C841FF"/>
    <w:rsid w:val="00C86F7A"/>
    <w:rsid w:val="00C92407"/>
    <w:rsid w:val="00C926E2"/>
    <w:rsid w:val="00C93D47"/>
    <w:rsid w:val="00C94E46"/>
    <w:rsid w:val="00C97803"/>
    <w:rsid w:val="00CA077A"/>
    <w:rsid w:val="00CA1356"/>
    <w:rsid w:val="00CB2B4A"/>
    <w:rsid w:val="00CB5153"/>
    <w:rsid w:val="00CC2305"/>
    <w:rsid w:val="00CC6800"/>
    <w:rsid w:val="00CD62F7"/>
    <w:rsid w:val="00CD70DB"/>
    <w:rsid w:val="00CE06C9"/>
    <w:rsid w:val="00CE0F70"/>
    <w:rsid w:val="00CE2B29"/>
    <w:rsid w:val="00CE54CF"/>
    <w:rsid w:val="00CE5DAC"/>
    <w:rsid w:val="00CF02C1"/>
    <w:rsid w:val="00CF5069"/>
    <w:rsid w:val="00D00844"/>
    <w:rsid w:val="00D07B04"/>
    <w:rsid w:val="00D16BD4"/>
    <w:rsid w:val="00D26CBF"/>
    <w:rsid w:val="00D37A97"/>
    <w:rsid w:val="00D37BB7"/>
    <w:rsid w:val="00D37CBE"/>
    <w:rsid w:val="00D444C5"/>
    <w:rsid w:val="00D62759"/>
    <w:rsid w:val="00D67614"/>
    <w:rsid w:val="00D73B49"/>
    <w:rsid w:val="00D7498B"/>
    <w:rsid w:val="00D90F99"/>
    <w:rsid w:val="00D934FF"/>
    <w:rsid w:val="00DA509E"/>
    <w:rsid w:val="00DA5860"/>
    <w:rsid w:val="00DA5D98"/>
    <w:rsid w:val="00DB437A"/>
    <w:rsid w:val="00DB79EF"/>
    <w:rsid w:val="00DC22BF"/>
    <w:rsid w:val="00DC3520"/>
    <w:rsid w:val="00DC53B9"/>
    <w:rsid w:val="00DD3595"/>
    <w:rsid w:val="00DD750F"/>
    <w:rsid w:val="00DE316D"/>
    <w:rsid w:val="00DE6230"/>
    <w:rsid w:val="00DE7C60"/>
    <w:rsid w:val="00DF2E28"/>
    <w:rsid w:val="00DF5223"/>
    <w:rsid w:val="00E00BF9"/>
    <w:rsid w:val="00E102E8"/>
    <w:rsid w:val="00E1280C"/>
    <w:rsid w:val="00E136A2"/>
    <w:rsid w:val="00E16B08"/>
    <w:rsid w:val="00E16B0F"/>
    <w:rsid w:val="00E17D84"/>
    <w:rsid w:val="00E25FE3"/>
    <w:rsid w:val="00E27733"/>
    <w:rsid w:val="00E27C65"/>
    <w:rsid w:val="00E326B5"/>
    <w:rsid w:val="00E339FF"/>
    <w:rsid w:val="00E35521"/>
    <w:rsid w:val="00E410D0"/>
    <w:rsid w:val="00E43825"/>
    <w:rsid w:val="00E51106"/>
    <w:rsid w:val="00E53867"/>
    <w:rsid w:val="00E61B5A"/>
    <w:rsid w:val="00E707D0"/>
    <w:rsid w:val="00E71969"/>
    <w:rsid w:val="00E73468"/>
    <w:rsid w:val="00E759EE"/>
    <w:rsid w:val="00E806C2"/>
    <w:rsid w:val="00E822F2"/>
    <w:rsid w:val="00E902A7"/>
    <w:rsid w:val="00E9583E"/>
    <w:rsid w:val="00E96BF4"/>
    <w:rsid w:val="00EA0E9E"/>
    <w:rsid w:val="00EA7272"/>
    <w:rsid w:val="00EB663C"/>
    <w:rsid w:val="00EB7F5F"/>
    <w:rsid w:val="00ED134D"/>
    <w:rsid w:val="00EE2268"/>
    <w:rsid w:val="00EE3CE7"/>
    <w:rsid w:val="00EF13E5"/>
    <w:rsid w:val="00EF4B66"/>
    <w:rsid w:val="00F0049F"/>
    <w:rsid w:val="00F03004"/>
    <w:rsid w:val="00F06216"/>
    <w:rsid w:val="00F07152"/>
    <w:rsid w:val="00F13067"/>
    <w:rsid w:val="00F304DD"/>
    <w:rsid w:val="00F30713"/>
    <w:rsid w:val="00F30840"/>
    <w:rsid w:val="00F32B0F"/>
    <w:rsid w:val="00F35742"/>
    <w:rsid w:val="00F37AEF"/>
    <w:rsid w:val="00F410CD"/>
    <w:rsid w:val="00F4587E"/>
    <w:rsid w:val="00F45F03"/>
    <w:rsid w:val="00F80DF2"/>
    <w:rsid w:val="00F8477A"/>
    <w:rsid w:val="00F85416"/>
    <w:rsid w:val="00F91713"/>
    <w:rsid w:val="00F94013"/>
    <w:rsid w:val="00F97773"/>
    <w:rsid w:val="00FA07E9"/>
    <w:rsid w:val="00FA60BC"/>
    <w:rsid w:val="00FB3012"/>
    <w:rsid w:val="00FB3D7E"/>
    <w:rsid w:val="00FB47AD"/>
    <w:rsid w:val="00FC6D29"/>
    <w:rsid w:val="00FD3449"/>
    <w:rsid w:val="00FE17EB"/>
    <w:rsid w:val="00FF2EB3"/>
    <w:rsid w:val="0110A4AA"/>
    <w:rsid w:val="014047B6"/>
    <w:rsid w:val="0189DDEC"/>
    <w:rsid w:val="01BEB522"/>
    <w:rsid w:val="0269E24D"/>
    <w:rsid w:val="029AC886"/>
    <w:rsid w:val="03052504"/>
    <w:rsid w:val="0377C838"/>
    <w:rsid w:val="04277560"/>
    <w:rsid w:val="048EB097"/>
    <w:rsid w:val="05148925"/>
    <w:rsid w:val="080F6F59"/>
    <w:rsid w:val="081FA8BB"/>
    <w:rsid w:val="086E70A6"/>
    <w:rsid w:val="08D26FD3"/>
    <w:rsid w:val="090F4B56"/>
    <w:rsid w:val="09E3FE5A"/>
    <w:rsid w:val="0B7BB5E5"/>
    <w:rsid w:val="0B80BBF3"/>
    <w:rsid w:val="0BBF2559"/>
    <w:rsid w:val="0CADF576"/>
    <w:rsid w:val="0CCC2EE1"/>
    <w:rsid w:val="0D633133"/>
    <w:rsid w:val="0DD36EEC"/>
    <w:rsid w:val="0DF3F8B8"/>
    <w:rsid w:val="0E8DE8DE"/>
    <w:rsid w:val="0FA6ADB7"/>
    <w:rsid w:val="0FBF76A7"/>
    <w:rsid w:val="0FD67E8D"/>
    <w:rsid w:val="10D2AA56"/>
    <w:rsid w:val="1133215E"/>
    <w:rsid w:val="119B78C7"/>
    <w:rsid w:val="11BD3F4E"/>
    <w:rsid w:val="125241E0"/>
    <w:rsid w:val="13551B9F"/>
    <w:rsid w:val="142E65F9"/>
    <w:rsid w:val="146A3DD6"/>
    <w:rsid w:val="14990557"/>
    <w:rsid w:val="14A7E24E"/>
    <w:rsid w:val="14A89175"/>
    <w:rsid w:val="1546DFD4"/>
    <w:rsid w:val="160DCC83"/>
    <w:rsid w:val="1638DDE3"/>
    <w:rsid w:val="16903498"/>
    <w:rsid w:val="17F44306"/>
    <w:rsid w:val="181CA2C5"/>
    <w:rsid w:val="18771ED0"/>
    <w:rsid w:val="191F0641"/>
    <w:rsid w:val="194694BF"/>
    <w:rsid w:val="1979CFE9"/>
    <w:rsid w:val="1A1A4A25"/>
    <w:rsid w:val="1B03449E"/>
    <w:rsid w:val="1B0749E2"/>
    <w:rsid w:val="1B204F2F"/>
    <w:rsid w:val="1BE61358"/>
    <w:rsid w:val="1C9B642E"/>
    <w:rsid w:val="1CCAF859"/>
    <w:rsid w:val="1CCF97DB"/>
    <w:rsid w:val="1F939D3D"/>
    <w:rsid w:val="1FFB20C6"/>
    <w:rsid w:val="20B1313C"/>
    <w:rsid w:val="20D8F498"/>
    <w:rsid w:val="20FF3E56"/>
    <w:rsid w:val="21132865"/>
    <w:rsid w:val="2116A68C"/>
    <w:rsid w:val="2140DA05"/>
    <w:rsid w:val="21596C2B"/>
    <w:rsid w:val="215F66DA"/>
    <w:rsid w:val="21746057"/>
    <w:rsid w:val="219C8291"/>
    <w:rsid w:val="21B9254F"/>
    <w:rsid w:val="21DB03A6"/>
    <w:rsid w:val="2204895B"/>
    <w:rsid w:val="226BB273"/>
    <w:rsid w:val="22BC28D9"/>
    <w:rsid w:val="22EB9FFF"/>
    <w:rsid w:val="23A273FE"/>
    <w:rsid w:val="23BFB766"/>
    <w:rsid w:val="23FC5084"/>
    <w:rsid w:val="2461976A"/>
    <w:rsid w:val="24A3E5F3"/>
    <w:rsid w:val="24BDFE67"/>
    <w:rsid w:val="253EA5AA"/>
    <w:rsid w:val="259A1923"/>
    <w:rsid w:val="26136B13"/>
    <w:rsid w:val="2621DFFB"/>
    <w:rsid w:val="265B115B"/>
    <w:rsid w:val="26702FB5"/>
    <w:rsid w:val="26C89507"/>
    <w:rsid w:val="2787D496"/>
    <w:rsid w:val="27942BF1"/>
    <w:rsid w:val="281AEDFE"/>
    <w:rsid w:val="285059C5"/>
    <w:rsid w:val="2877BD7E"/>
    <w:rsid w:val="29738051"/>
    <w:rsid w:val="297CD468"/>
    <w:rsid w:val="299CC03F"/>
    <w:rsid w:val="29A51AAB"/>
    <w:rsid w:val="29B884C7"/>
    <w:rsid w:val="29E9EA5C"/>
    <w:rsid w:val="2A616C50"/>
    <w:rsid w:val="2B19CAF1"/>
    <w:rsid w:val="2B4B0E18"/>
    <w:rsid w:val="2BD82F40"/>
    <w:rsid w:val="2C4337A2"/>
    <w:rsid w:val="2D31A858"/>
    <w:rsid w:val="2E058B9F"/>
    <w:rsid w:val="2E129785"/>
    <w:rsid w:val="2E7523B1"/>
    <w:rsid w:val="2E85F489"/>
    <w:rsid w:val="2EE1525A"/>
    <w:rsid w:val="2F927210"/>
    <w:rsid w:val="30085085"/>
    <w:rsid w:val="306B0CC3"/>
    <w:rsid w:val="30D7E227"/>
    <w:rsid w:val="30F802B7"/>
    <w:rsid w:val="3151F6EC"/>
    <w:rsid w:val="33FDF002"/>
    <w:rsid w:val="34220F93"/>
    <w:rsid w:val="3470EE40"/>
    <w:rsid w:val="34932F02"/>
    <w:rsid w:val="34A85DCA"/>
    <w:rsid w:val="34C40572"/>
    <w:rsid w:val="34D214C0"/>
    <w:rsid w:val="34F8E0CA"/>
    <w:rsid w:val="35344482"/>
    <w:rsid w:val="358AFCB9"/>
    <w:rsid w:val="35D1DD31"/>
    <w:rsid w:val="35EA0B8A"/>
    <w:rsid w:val="3618C113"/>
    <w:rsid w:val="364012FC"/>
    <w:rsid w:val="366FAC50"/>
    <w:rsid w:val="36CC9090"/>
    <w:rsid w:val="379339E4"/>
    <w:rsid w:val="38B089A6"/>
    <w:rsid w:val="38B17E89"/>
    <w:rsid w:val="38D16146"/>
    <w:rsid w:val="38EF27A1"/>
    <w:rsid w:val="39929EEF"/>
    <w:rsid w:val="39D79877"/>
    <w:rsid w:val="39D864DB"/>
    <w:rsid w:val="39D99C48"/>
    <w:rsid w:val="39DA4C06"/>
    <w:rsid w:val="3B27338A"/>
    <w:rsid w:val="3B4F52E0"/>
    <w:rsid w:val="3C67C4F1"/>
    <w:rsid w:val="3CBFA7C0"/>
    <w:rsid w:val="3CCDE5CE"/>
    <w:rsid w:val="3ED2FA1D"/>
    <w:rsid w:val="3EEBE7F5"/>
    <w:rsid w:val="3F06DF2F"/>
    <w:rsid w:val="3F9958F3"/>
    <w:rsid w:val="403F9F8F"/>
    <w:rsid w:val="40E557DF"/>
    <w:rsid w:val="414525BD"/>
    <w:rsid w:val="420959CA"/>
    <w:rsid w:val="4212DA9F"/>
    <w:rsid w:val="421FC053"/>
    <w:rsid w:val="42B3EC0E"/>
    <w:rsid w:val="42E669CE"/>
    <w:rsid w:val="42F465C2"/>
    <w:rsid w:val="431B49E5"/>
    <w:rsid w:val="4541849C"/>
    <w:rsid w:val="454E0736"/>
    <w:rsid w:val="459CD58B"/>
    <w:rsid w:val="45A88022"/>
    <w:rsid w:val="46FED913"/>
    <w:rsid w:val="481B88E3"/>
    <w:rsid w:val="4887E730"/>
    <w:rsid w:val="48D51B28"/>
    <w:rsid w:val="48F3E9DF"/>
    <w:rsid w:val="49A32D8E"/>
    <w:rsid w:val="4A46567F"/>
    <w:rsid w:val="4A5D5C92"/>
    <w:rsid w:val="4AB780A7"/>
    <w:rsid w:val="4AC4243B"/>
    <w:rsid w:val="4B0604CF"/>
    <w:rsid w:val="4B204F05"/>
    <w:rsid w:val="4B64F85A"/>
    <w:rsid w:val="4B993839"/>
    <w:rsid w:val="4BB96FFE"/>
    <w:rsid w:val="4BD14974"/>
    <w:rsid w:val="4BD2A9F4"/>
    <w:rsid w:val="4C30FBE2"/>
    <w:rsid w:val="4D2A5EC2"/>
    <w:rsid w:val="4D5633D2"/>
    <w:rsid w:val="4D8E07D0"/>
    <w:rsid w:val="4E597CE3"/>
    <w:rsid w:val="4ED7C125"/>
    <w:rsid w:val="4ED90EA7"/>
    <w:rsid w:val="4EF09E17"/>
    <w:rsid w:val="4F215F36"/>
    <w:rsid w:val="4F61EF50"/>
    <w:rsid w:val="4F8444A8"/>
    <w:rsid w:val="51168335"/>
    <w:rsid w:val="517F107D"/>
    <w:rsid w:val="52041907"/>
    <w:rsid w:val="520FFFF3"/>
    <w:rsid w:val="521BE34B"/>
    <w:rsid w:val="5234F77C"/>
    <w:rsid w:val="5272BC39"/>
    <w:rsid w:val="5308B5D2"/>
    <w:rsid w:val="53806FB2"/>
    <w:rsid w:val="53B2757C"/>
    <w:rsid w:val="53C580E6"/>
    <w:rsid w:val="53D5D6F1"/>
    <w:rsid w:val="54A8D46B"/>
    <w:rsid w:val="5606A3F8"/>
    <w:rsid w:val="5656EAD3"/>
    <w:rsid w:val="5709962A"/>
    <w:rsid w:val="582198E0"/>
    <w:rsid w:val="58EC6CC2"/>
    <w:rsid w:val="59208220"/>
    <w:rsid w:val="5AD9CFEB"/>
    <w:rsid w:val="5AF14D66"/>
    <w:rsid w:val="5B315E1C"/>
    <w:rsid w:val="5C1B4587"/>
    <w:rsid w:val="5C285438"/>
    <w:rsid w:val="5C2FD991"/>
    <w:rsid w:val="5C416B93"/>
    <w:rsid w:val="5DBC02B2"/>
    <w:rsid w:val="5E84AF94"/>
    <w:rsid w:val="5ED4A501"/>
    <w:rsid w:val="5EEEB67F"/>
    <w:rsid w:val="5F02628E"/>
    <w:rsid w:val="5F414D2D"/>
    <w:rsid w:val="5F98A1A0"/>
    <w:rsid w:val="5FFF2CC2"/>
    <w:rsid w:val="603CA606"/>
    <w:rsid w:val="60A0CD96"/>
    <w:rsid w:val="6140EE20"/>
    <w:rsid w:val="61DA5401"/>
    <w:rsid w:val="620804E0"/>
    <w:rsid w:val="623FF79D"/>
    <w:rsid w:val="624E0174"/>
    <w:rsid w:val="631AC345"/>
    <w:rsid w:val="63C4273D"/>
    <w:rsid w:val="63F0EB17"/>
    <w:rsid w:val="64629EE4"/>
    <w:rsid w:val="64B420D1"/>
    <w:rsid w:val="64B45E3A"/>
    <w:rsid w:val="64F7AA63"/>
    <w:rsid w:val="650884AD"/>
    <w:rsid w:val="6564907B"/>
    <w:rsid w:val="65F2F8B8"/>
    <w:rsid w:val="6661DDC9"/>
    <w:rsid w:val="66C78972"/>
    <w:rsid w:val="671403CC"/>
    <w:rsid w:val="6793C324"/>
    <w:rsid w:val="67E4A2AD"/>
    <w:rsid w:val="67EEC183"/>
    <w:rsid w:val="6818F207"/>
    <w:rsid w:val="683FCCA1"/>
    <w:rsid w:val="68817251"/>
    <w:rsid w:val="68F87A12"/>
    <w:rsid w:val="691E2186"/>
    <w:rsid w:val="692EDFA2"/>
    <w:rsid w:val="696E54C6"/>
    <w:rsid w:val="69C25CA2"/>
    <w:rsid w:val="6A059539"/>
    <w:rsid w:val="6A0931FC"/>
    <w:rsid w:val="6A611939"/>
    <w:rsid w:val="6AFCF3AE"/>
    <w:rsid w:val="6B05AAC8"/>
    <w:rsid w:val="6B858646"/>
    <w:rsid w:val="6BC41AD1"/>
    <w:rsid w:val="6BDAB6B3"/>
    <w:rsid w:val="6C0C0912"/>
    <w:rsid w:val="6C95CBC2"/>
    <w:rsid w:val="6C9DD3CE"/>
    <w:rsid w:val="6D12701F"/>
    <w:rsid w:val="6D7A7EED"/>
    <w:rsid w:val="6DD78351"/>
    <w:rsid w:val="6DD9A5CA"/>
    <w:rsid w:val="6DF2CC31"/>
    <w:rsid w:val="6E1808BD"/>
    <w:rsid w:val="6E3A4B54"/>
    <w:rsid w:val="6E95659B"/>
    <w:rsid w:val="6F24C13C"/>
    <w:rsid w:val="6F4D9C8E"/>
    <w:rsid w:val="6F57A839"/>
    <w:rsid w:val="7057B726"/>
    <w:rsid w:val="70AF086F"/>
    <w:rsid w:val="70FEDB8C"/>
    <w:rsid w:val="71143B48"/>
    <w:rsid w:val="71404082"/>
    <w:rsid w:val="717CEBC7"/>
    <w:rsid w:val="71C7682C"/>
    <w:rsid w:val="7254B816"/>
    <w:rsid w:val="726BC677"/>
    <w:rsid w:val="72A21662"/>
    <w:rsid w:val="7424623C"/>
    <w:rsid w:val="7476F168"/>
    <w:rsid w:val="74ACD5D0"/>
    <w:rsid w:val="74E66C0E"/>
    <w:rsid w:val="76A80F11"/>
    <w:rsid w:val="77004D25"/>
    <w:rsid w:val="77281FA8"/>
    <w:rsid w:val="77BE5733"/>
    <w:rsid w:val="78134C8A"/>
    <w:rsid w:val="7830B454"/>
    <w:rsid w:val="78DB51FE"/>
    <w:rsid w:val="791FD453"/>
    <w:rsid w:val="795F4A94"/>
    <w:rsid w:val="7982735C"/>
    <w:rsid w:val="799A5D19"/>
    <w:rsid w:val="79DECCAA"/>
    <w:rsid w:val="79FDBCBE"/>
    <w:rsid w:val="7A08F72C"/>
    <w:rsid w:val="7A7FEFE7"/>
    <w:rsid w:val="7A83FFDC"/>
    <w:rsid w:val="7B73E4B0"/>
    <w:rsid w:val="7C2150FA"/>
    <w:rsid w:val="7D217BA3"/>
    <w:rsid w:val="7D2AC990"/>
    <w:rsid w:val="7D8A3AD7"/>
    <w:rsid w:val="7DC03425"/>
    <w:rsid w:val="7DD30896"/>
    <w:rsid w:val="7E96D2AC"/>
    <w:rsid w:val="7FA7F799"/>
    <w:rsid w:val="7FE197EF"/>
    <w:rsid w:val="7FFEBB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FFE029"/>
  <w15:chartTrackingRefBased/>
  <w15:docId w15:val="{BB0BBD71-85FA-40C7-8E47-B6D20E257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3F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078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86F7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6C99"/>
    <w:pPr>
      <w:ind w:left="720"/>
      <w:contextualSpacing/>
    </w:pPr>
  </w:style>
  <w:style w:type="paragraph" w:styleId="BalloonText">
    <w:name w:val="Balloon Text"/>
    <w:basedOn w:val="Normal"/>
    <w:link w:val="BalloonTextChar"/>
    <w:uiPriority w:val="99"/>
    <w:semiHidden/>
    <w:unhideWhenUsed/>
    <w:rsid w:val="00F004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49F"/>
    <w:rPr>
      <w:rFonts w:ascii="Segoe UI" w:hAnsi="Segoe UI" w:cs="Segoe UI"/>
      <w:sz w:val="18"/>
      <w:szCs w:val="18"/>
    </w:rPr>
  </w:style>
  <w:style w:type="character" w:styleId="CommentReference">
    <w:name w:val="annotation reference"/>
    <w:basedOn w:val="DefaultParagraphFont"/>
    <w:uiPriority w:val="99"/>
    <w:semiHidden/>
    <w:unhideWhenUsed/>
    <w:rsid w:val="001D7F80"/>
    <w:rPr>
      <w:sz w:val="16"/>
      <w:szCs w:val="16"/>
    </w:rPr>
  </w:style>
  <w:style w:type="paragraph" w:styleId="CommentText">
    <w:name w:val="annotation text"/>
    <w:basedOn w:val="Normal"/>
    <w:link w:val="CommentTextChar"/>
    <w:uiPriority w:val="99"/>
    <w:semiHidden/>
    <w:unhideWhenUsed/>
    <w:rsid w:val="001D7F80"/>
    <w:pPr>
      <w:spacing w:line="240" w:lineRule="auto"/>
    </w:pPr>
    <w:rPr>
      <w:sz w:val="20"/>
      <w:szCs w:val="20"/>
    </w:rPr>
  </w:style>
  <w:style w:type="character" w:customStyle="1" w:styleId="CommentTextChar">
    <w:name w:val="Comment Text Char"/>
    <w:basedOn w:val="DefaultParagraphFont"/>
    <w:link w:val="CommentText"/>
    <w:uiPriority w:val="99"/>
    <w:semiHidden/>
    <w:rsid w:val="001D7F80"/>
    <w:rPr>
      <w:sz w:val="20"/>
      <w:szCs w:val="20"/>
    </w:rPr>
  </w:style>
  <w:style w:type="paragraph" w:styleId="CommentSubject">
    <w:name w:val="annotation subject"/>
    <w:basedOn w:val="CommentText"/>
    <w:next w:val="CommentText"/>
    <w:link w:val="CommentSubjectChar"/>
    <w:uiPriority w:val="99"/>
    <w:semiHidden/>
    <w:unhideWhenUsed/>
    <w:rsid w:val="001D7F80"/>
    <w:rPr>
      <w:b/>
      <w:bCs/>
    </w:rPr>
  </w:style>
  <w:style w:type="character" w:customStyle="1" w:styleId="CommentSubjectChar">
    <w:name w:val="Comment Subject Char"/>
    <w:basedOn w:val="CommentTextChar"/>
    <w:link w:val="CommentSubject"/>
    <w:uiPriority w:val="99"/>
    <w:semiHidden/>
    <w:rsid w:val="001D7F80"/>
    <w:rPr>
      <w:b/>
      <w:bCs/>
      <w:sz w:val="20"/>
      <w:szCs w:val="20"/>
    </w:rPr>
  </w:style>
  <w:style w:type="character" w:customStyle="1" w:styleId="apple-converted-space">
    <w:name w:val="apple-converted-space"/>
    <w:basedOn w:val="DefaultParagraphFont"/>
    <w:rsid w:val="00BA4E91"/>
  </w:style>
  <w:style w:type="character" w:styleId="Strong">
    <w:name w:val="Strong"/>
    <w:basedOn w:val="DefaultParagraphFont"/>
    <w:uiPriority w:val="22"/>
    <w:qFormat/>
    <w:rsid w:val="00BA4E91"/>
    <w:rPr>
      <w:b/>
      <w:bCs/>
    </w:rPr>
  </w:style>
  <w:style w:type="table" w:styleId="TableGrid">
    <w:name w:val="Table Grid"/>
    <w:basedOn w:val="TableNormal"/>
    <w:uiPriority w:val="39"/>
    <w:rsid w:val="001D3A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6971B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A90976"/>
    <w:rPr>
      <w:color w:val="0563C1" w:themeColor="hyperlink"/>
      <w:u w:val="single"/>
    </w:rPr>
  </w:style>
  <w:style w:type="character" w:customStyle="1" w:styleId="Heading2Char">
    <w:name w:val="Heading 2 Char"/>
    <w:basedOn w:val="DefaultParagraphFont"/>
    <w:link w:val="Heading2"/>
    <w:uiPriority w:val="9"/>
    <w:rsid w:val="00907886"/>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753FE4"/>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uiPriority w:val="20"/>
    <w:qFormat/>
    <w:rsid w:val="00A61DA0"/>
    <w:rPr>
      <w:i/>
      <w:iCs/>
    </w:rPr>
  </w:style>
  <w:style w:type="paragraph" w:customStyle="1" w:styleId="paragraph">
    <w:name w:val="paragraph"/>
    <w:basedOn w:val="Normal"/>
    <w:rsid w:val="004344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3445D"/>
  </w:style>
  <w:style w:type="character" w:customStyle="1" w:styleId="eop">
    <w:name w:val="eop"/>
    <w:basedOn w:val="DefaultParagraphFont"/>
    <w:rsid w:val="0043445D"/>
  </w:style>
  <w:style w:type="paragraph" w:styleId="Revision">
    <w:name w:val="Revision"/>
    <w:hidden/>
    <w:uiPriority w:val="99"/>
    <w:semiHidden/>
    <w:rsid w:val="00DE316D"/>
    <w:pPr>
      <w:spacing w:after="0" w:line="240" w:lineRule="auto"/>
    </w:pPr>
  </w:style>
  <w:style w:type="character" w:customStyle="1" w:styleId="Heading3Char">
    <w:name w:val="Heading 3 Char"/>
    <w:basedOn w:val="DefaultParagraphFont"/>
    <w:link w:val="Heading3"/>
    <w:uiPriority w:val="9"/>
    <w:rsid w:val="00C86F7A"/>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BA2D04"/>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qFormat/>
    <w:rsid w:val="00C72968"/>
    <w:pPr>
      <w:suppressAutoHyphens/>
      <w:spacing w:before="240" w:after="0" w:line="300" w:lineRule="exact"/>
    </w:pPr>
    <w:rPr>
      <w:rFonts w:ascii="Segoe UI" w:eastAsia="Meiryo UI" w:hAnsi="Segoe UI" w:cs="Segoe UI"/>
      <w:kern w:val="12"/>
      <w:sz w:val="21"/>
      <w:szCs w:val="21"/>
    </w:rPr>
  </w:style>
  <w:style w:type="character" w:customStyle="1" w:styleId="BodyTextChar">
    <w:name w:val="Body Text Char"/>
    <w:basedOn w:val="DefaultParagraphFont"/>
    <w:link w:val="BodyText"/>
    <w:rsid w:val="00C72968"/>
    <w:rPr>
      <w:rFonts w:ascii="Segoe UI" w:eastAsia="Meiryo UI" w:hAnsi="Segoe UI" w:cs="Segoe UI"/>
      <w:kern w:val="12"/>
      <w:sz w:val="21"/>
      <w:szCs w:val="21"/>
    </w:rPr>
  </w:style>
  <w:style w:type="paragraph" w:customStyle="1" w:styleId="SBul1-Line">
    <w:name w:val="S Bul 1-Line"/>
    <w:basedOn w:val="Normal"/>
    <w:qFormat/>
    <w:rsid w:val="00752EB1"/>
    <w:pPr>
      <w:numPr>
        <w:numId w:val="20"/>
      </w:numPr>
      <w:suppressAutoHyphens/>
      <w:spacing w:before="120" w:after="0" w:line="300" w:lineRule="exact"/>
      <w:contextualSpacing/>
    </w:pPr>
    <w:rPr>
      <w:rFonts w:ascii="Segoe UI" w:eastAsia="Meiryo UI" w:hAnsi="Segoe UI" w:cs="Segoe UI"/>
      <w:kern w:val="16"/>
      <w:sz w:val="21"/>
      <w:szCs w:val="21"/>
    </w:rPr>
  </w:style>
  <w:style w:type="paragraph" w:styleId="Bibliography">
    <w:name w:val="Bibliography"/>
    <w:basedOn w:val="Normal"/>
    <w:next w:val="Normal"/>
    <w:uiPriority w:val="37"/>
    <w:unhideWhenUsed/>
    <w:rsid w:val="00571FDB"/>
  </w:style>
  <w:style w:type="paragraph" w:styleId="Header">
    <w:name w:val="header"/>
    <w:basedOn w:val="Normal"/>
    <w:link w:val="HeaderChar"/>
    <w:uiPriority w:val="99"/>
    <w:unhideWhenUsed/>
    <w:rsid w:val="00605B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5B1C"/>
  </w:style>
  <w:style w:type="paragraph" w:styleId="Footer">
    <w:name w:val="footer"/>
    <w:basedOn w:val="Normal"/>
    <w:link w:val="FooterChar"/>
    <w:uiPriority w:val="99"/>
    <w:unhideWhenUsed/>
    <w:rsid w:val="00605B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5B1C"/>
  </w:style>
  <w:style w:type="character" w:styleId="FollowedHyperlink">
    <w:name w:val="FollowedHyperlink"/>
    <w:basedOn w:val="DefaultParagraphFont"/>
    <w:uiPriority w:val="99"/>
    <w:semiHidden/>
    <w:unhideWhenUsed/>
    <w:rsid w:val="00141001"/>
    <w:rPr>
      <w:color w:val="954F72" w:themeColor="followedHyperlink"/>
      <w:u w:val="single"/>
    </w:rPr>
  </w:style>
  <w:style w:type="character" w:styleId="UnresolvedMention">
    <w:name w:val="Unresolved Mention"/>
    <w:basedOn w:val="DefaultParagraphFont"/>
    <w:uiPriority w:val="99"/>
    <w:semiHidden/>
    <w:unhideWhenUsed/>
    <w:rsid w:val="002C267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77806">
      <w:bodyDiv w:val="1"/>
      <w:marLeft w:val="0"/>
      <w:marRight w:val="0"/>
      <w:marTop w:val="0"/>
      <w:marBottom w:val="0"/>
      <w:divBdr>
        <w:top w:val="none" w:sz="0" w:space="0" w:color="auto"/>
        <w:left w:val="none" w:sz="0" w:space="0" w:color="auto"/>
        <w:bottom w:val="none" w:sz="0" w:space="0" w:color="auto"/>
        <w:right w:val="none" w:sz="0" w:space="0" w:color="auto"/>
      </w:divBdr>
    </w:div>
    <w:div w:id="119225723">
      <w:bodyDiv w:val="1"/>
      <w:marLeft w:val="0"/>
      <w:marRight w:val="0"/>
      <w:marTop w:val="0"/>
      <w:marBottom w:val="0"/>
      <w:divBdr>
        <w:top w:val="none" w:sz="0" w:space="0" w:color="auto"/>
        <w:left w:val="none" w:sz="0" w:space="0" w:color="auto"/>
        <w:bottom w:val="none" w:sz="0" w:space="0" w:color="auto"/>
        <w:right w:val="none" w:sz="0" w:space="0" w:color="auto"/>
      </w:divBdr>
    </w:div>
    <w:div w:id="144712973">
      <w:bodyDiv w:val="1"/>
      <w:marLeft w:val="0"/>
      <w:marRight w:val="0"/>
      <w:marTop w:val="0"/>
      <w:marBottom w:val="0"/>
      <w:divBdr>
        <w:top w:val="none" w:sz="0" w:space="0" w:color="auto"/>
        <w:left w:val="none" w:sz="0" w:space="0" w:color="auto"/>
        <w:bottom w:val="none" w:sz="0" w:space="0" w:color="auto"/>
        <w:right w:val="none" w:sz="0" w:space="0" w:color="auto"/>
      </w:divBdr>
    </w:div>
    <w:div w:id="305478601">
      <w:bodyDiv w:val="1"/>
      <w:marLeft w:val="0"/>
      <w:marRight w:val="0"/>
      <w:marTop w:val="0"/>
      <w:marBottom w:val="0"/>
      <w:divBdr>
        <w:top w:val="none" w:sz="0" w:space="0" w:color="auto"/>
        <w:left w:val="none" w:sz="0" w:space="0" w:color="auto"/>
        <w:bottom w:val="none" w:sz="0" w:space="0" w:color="auto"/>
        <w:right w:val="none" w:sz="0" w:space="0" w:color="auto"/>
      </w:divBdr>
    </w:div>
    <w:div w:id="419528424">
      <w:bodyDiv w:val="1"/>
      <w:marLeft w:val="0"/>
      <w:marRight w:val="0"/>
      <w:marTop w:val="0"/>
      <w:marBottom w:val="0"/>
      <w:divBdr>
        <w:top w:val="none" w:sz="0" w:space="0" w:color="auto"/>
        <w:left w:val="none" w:sz="0" w:space="0" w:color="auto"/>
        <w:bottom w:val="none" w:sz="0" w:space="0" w:color="auto"/>
        <w:right w:val="none" w:sz="0" w:space="0" w:color="auto"/>
      </w:divBdr>
    </w:div>
    <w:div w:id="440342014">
      <w:bodyDiv w:val="1"/>
      <w:marLeft w:val="0"/>
      <w:marRight w:val="0"/>
      <w:marTop w:val="0"/>
      <w:marBottom w:val="0"/>
      <w:divBdr>
        <w:top w:val="none" w:sz="0" w:space="0" w:color="auto"/>
        <w:left w:val="none" w:sz="0" w:space="0" w:color="auto"/>
        <w:bottom w:val="none" w:sz="0" w:space="0" w:color="auto"/>
        <w:right w:val="none" w:sz="0" w:space="0" w:color="auto"/>
      </w:divBdr>
    </w:div>
    <w:div w:id="597256211">
      <w:bodyDiv w:val="1"/>
      <w:marLeft w:val="0"/>
      <w:marRight w:val="0"/>
      <w:marTop w:val="0"/>
      <w:marBottom w:val="0"/>
      <w:divBdr>
        <w:top w:val="none" w:sz="0" w:space="0" w:color="auto"/>
        <w:left w:val="none" w:sz="0" w:space="0" w:color="auto"/>
        <w:bottom w:val="none" w:sz="0" w:space="0" w:color="auto"/>
        <w:right w:val="none" w:sz="0" w:space="0" w:color="auto"/>
      </w:divBdr>
    </w:div>
    <w:div w:id="719520970">
      <w:bodyDiv w:val="1"/>
      <w:marLeft w:val="0"/>
      <w:marRight w:val="0"/>
      <w:marTop w:val="0"/>
      <w:marBottom w:val="0"/>
      <w:divBdr>
        <w:top w:val="none" w:sz="0" w:space="0" w:color="auto"/>
        <w:left w:val="none" w:sz="0" w:space="0" w:color="auto"/>
        <w:bottom w:val="none" w:sz="0" w:space="0" w:color="auto"/>
        <w:right w:val="none" w:sz="0" w:space="0" w:color="auto"/>
      </w:divBdr>
    </w:div>
    <w:div w:id="756292596">
      <w:bodyDiv w:val="1"/>
      <w:marLeft w:val="0"/>
      <w:marRight w:val="0"/>
      <w:marTop w:val="0"/>
      <w:marBottom w:val="0"/>
      <w:divBdr>
        <w:top w:val="none" w:sz="0" w:space="0" w:color="auto"/>
        <w:left w:val="none" w:sz="0" w:space="0" w:color="auto"/>
        <w:bottom w:val="none" w:sz="0" w:space="0" w:color="auto"/>
        <w:right w:val="none" w:sz="0" w:space="0" w:color="auto"/>
      </w:divBdr>
    </w:div>
    <w:div w:id="855074484">
      <w:bodyDiv w:val="1"/>
      <w:marLeft w:val="0"/>
      <w:marRight w:val="0"/>
      <w:marTop w:val="0"/>
      <w:marBottom w:val="0"/>
      <w:divBdr>
        <w:top w:val="none" w:sz="0" w:space="0" w:color="auto"/>
        <w:left w:val="none" w:sz="0" w:space="0" w:color="auto"/>
        <w:bottom w:val="none" w:sz="0" w:space="0" w:color="auto"/>
        <w:right w:val="none" w:sz="0" w:space="0" w:color="auto"/>
      </w:divBdr>
    </w:div>
    <w:div w:id="952247757">
      <w:bodyDiv w:val="1"/>
      <w:marLeft w:val="0"/>
      <w:marRight w:val="0"/>
      <w:marTop w:val="0"/>
      <w:marBottom w:val="0"/>
      <w:divBdr>
        <w:top w:val="none" w:sz="0" w:space="0" w:color="auto"/>
        <w:left w:val="none" w:sz="0" w:space="0" w:color="auto"/>
        <w:bottom w:val="none" w:sz="0" w:space="0" w:color="auto"/>
        <w:right w:val="none" w:sz="0" w:space="0" w:color="auto"/>
      </w:divBdr>
    </w:div>
    <w:div w:id="980575537">
      <w:bodyDiv w:val="1"/>
      <w:marLeft w:val="0"/>
      <w:marRight w:val="0"/>
      <w:marTop w:val="0"/>
      <w:marBottom w:val="0"/>
      <w:divBdr>
        <w:top w:val="none" w:sz="0" w:space="0" w:color="auto"/>
        <w:left w:val="none" w:sz="0" w:space="0" w:color="auto"/>
        <w:bottom w:val="none" w:sz="0" w:space="0" w:color="auto"/>
        <w:right w:val="none" w:sz="0" w:space="0" w:color="auto"/>
      </w:divBdr>
    </w:div>
    <w:div w:id="1102337769">
      <w:bodyDiv w:val="1"/>
      <w:marLeft w:val="0"/>
      <w:marRight w:val="0"/>
      <w:marTop w:val="0"/>
      <w:marBottom w:val="0"/>
      <w:divBdr>
        <w:top w:val="none" w:sz="0" w:space="0" w:color="auto"/>
        <w:left w:val="none" w:sz="0" w:space="0" w:color="auto"/>
        <w:bottom w:val="none" w:sz="0" w:space="0" w:color="auto"/>
        <w:right w:val="none" w:sz="0" w:space="0" w:color="auto"/>
      </w:divBdr>
    </w:div>
    <w:div w:id="1377269248">
      <w:bodyDiv w:val="1"/>
      <w:marLeft w:val="0"/>
      <w:marRight w:val="0"/>
      <w:marTop w:val="0"/>
      <w:marBottom w:val="0"/>
      <w:divBdr>
        <w:top w:val="none" w:sz="0" w:space="0" w:color="auto"/>
        <w:left w:val="none" w:sz="0" w:space="0" w:color="auto"/>
        <w:bottom w:val="none" w:sz="0" w:space="0" w:color="auto"/>
        <w:right w:val="none" w:sz="0" w:space="0" w:color="auto"/>
      </w:divBdr>
    </w:div>
    <w:div w:id="1424302463">
      <w:bodyDiv w:val="1"/>
      <w:marLeft w:val="0"/>
      <w:marRight w:val="0"/>
      <w:marTop w:val="0"/>
      <w:marBottom w:val="0"/>
      <w:divBdr>
        <w:top w:val="none" w:sz="0" w:space="0" w:color="auto"/>
        <w:left w:val="none" w:sz="0" w:space="0" w:color="auto"/>
        <w:bottom w:val="none" w:sz="0" w:space="0" w:color="auto"/>
        <w:right w:val="none" w:sz="0" w:space="0" w:color="auto"/>
      </w:divBdr>
    </w:div>
    <w:div w:id="1444227324">
      <w:bodyDiv w:val="1"/>
      <w:marLeft w:val="0"/>
      <w:marRight w:val="0"/>
      <w:marTop w:val="0"/>
      <w:marBottom w:val="0"/>
      <w:divBdr>
        <w:top w:val="none" w:sz="0" w:space="0" w:color="auto"/>
        <w:left w:val="none" w:sz="0" w:space="0" w:color="auto"/>
        <w:bottom w:val="none" w:sz="0" w:space="0" w:color="auto"/>
        <w:right w:val="none" w:sz="0" w:space="0" w:color="auto"/>
      </w:divBdr>
    </w:div>
    <w:div w:id="1622490294">
      <w:bodyDiv w:val="1"/>
      <w:marLeft w:val="0"/>
      <w:marRight w:val="0"/>
      <w:marTop w:val="0"/>
      <w:marBottom w:val="0"/>
      <w:divBdr>
        <w:top w:val="none" w:sz="0" w:space="0" w:color="auto"/>
        <w:left w:val="none" w:sz="0" w:space="0" w:color="auto"/>
        <w:bottom w:val="none" w:sz="0" w:space="0" w:color="auto"/>
        <w:right w:val="none" w:sz="0" w:space="0" w:color="auto"/>
      </w:divBdr>
    </w:div>
    <w:div w:id="1734960607">
      <w:bodyDiv w:val="1"/>
      <w:marLeft w:val="0"/>
      <w:marRight w:val="0"/>
      <w:marTop w:val="0"/>
      <w:marBottom w:val="0"/>
      <w:divBdr>
        <w:top w:val="none" w:sz="0" w:space="0" w:color="auto"/>
        <w:left w:val="none" w:sz="0" w:space="0" w:color="auto"/>
        <w:bottom w:val="none" w:sz="0" w:space="0" w:color="auto"/>
        <w:right w:val="none" w:sz="0" w:space="0" w:color="auto"/>
      </w:divBdr>
    </w:div>
    <w:div w:id="2018388008">
      <w:bodyDiv w:val="1"/>
      <w:marLeft w:val="0"/>
      <w:marRight w:val="0"/>
      <w:marTop w:val="0"/>
      <w:marBottom w:val="0"/>
      <w:divBdr>
        <w:top w:val="none" w:sz="0" w:space="0" w:color="auto"/>
        <w:left w:val="none" w:sz="0" w:space="0" w:color="auto"/>
        <w:bottom w:val="none" w:sz="0" w:space="0" w:color="auto"/>
        <w:right w:val="none" w:sz="0" w:space="0" w:color="auto"/>
      </w:divBdr>
    </w:div>
    <w:div w:id="213917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iooc.us/ocean-observations/data-management/" TargetMode="External"/><Relationship Id="rId26" Type="http://schemas.openxmlformats.org/officeDocument/2006/relationships/hyperlink" Target="http://54.210.62.171/" TargetMode="External"/><Relationship Id="rId3" Type="http://schemas.openxmlformats.org/officeDocument/2006/relationships/customXml" Target="../customXml/item3.xml"/><Relationship Id="rId21" Type="http://schemas.openxmlformats.org/officeDocument/2006/relationships/hyperlink" Target="http://his.cuahsi.org/wofws.html"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e-enterprisefortheenvironment.net/our-projects/interoperable-watersheds-network/" TargetMode="External"/><Relationship Id="rId17" Type="http://schemas.openxmlformats.org/officeDocument/2006/relationships/hyperlink" Target="http://www.opengeospatial.org/standards/sensorthings" TargetMode="External"/><Relationship Id="rId25" Type="http://schemas.openxmlformats.org/officeDocument/2006/relationships/hyperlink" Target="https://waterqualitydata.u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opengeospatial.org/standards/om" TargetMode="External"/><Relationship Id="rId20" Type="http://schemas.openxmlformats.org/officeDocument/2006/relationships/hyperlink" Target="https://www.epa.gov/waterdata/water-quality-data-wqx" TargetMode="External"/><Relationship Id="rId29" Type="http://schemas.openxmlformats.org/officeDocument/2006/relationships/hyperlink" Target="https://maracoos.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aqs.epa.gov/aqsweb/documents/AQCSV_Format.html" TargetMode="External"/><Relationship Id="rId32" Type="http://schemas.openxmlformats.org/officeDocument/2006/relationships/hyperlink" Target="https://ioos.noaa.gov/" TargetMode="External"/><Relationship Id="rId5" Type="http://schemas.openxmlformats.org/officeDocument/2006/relationships/customXml" Target="../customXml/item5.xml"/><Relationship Id="rId15" Type="http://schemas.openxmlformats.org/officeDocument/2006/relationships/hyperlink" Target="http://www.opengeospatial.org/standards/waterml" TargetMode="External"/><Relationship Id="rId23" Type="http://schemas.openxmlformats.org/officeDocument/2006/relationships/hyperlink" Target="https://www.epa.gov/aqs" TargetMode="External"/><Relationship Id="rId28" Type="http://schemas.openxmlformats.org/officeDocument/2006/relationships/hyperlink" Target="https://water.usgs.gov/XML/NWIS/nwis_hml.htm" TargetMode="External"/><Relationship Id="rId10" Type="http://schemas.openxmlformats.org/officeDocument/2006/relationships/footnotes" Target="footnotes.xml"/><Relationship Id="rId19" Type="http://schemas.openxmlformats.org/officeDocument/2006/relationships/hyperlink" Target="https://www.unidata.ucar.edu/software/netcdf/" TargetMode="External"/><Relationship Id="rId31" Type="http://schemas.openxmlformats.org/officeDocument/2006/relationships/hyperlink" Target="https://www.nosc.noaa.gov/EDMC/PD.DD.ph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opengeospatial.org/standards/sensorml" TargetMode="External"/><Relationship Id="rId22" Type="http://schemas.openxmlformats.org/officeDocument/2006/relationships/hyperlink" Target="https://response.epa.gov/site/site_profile.aspx?site_id=5033" TargetMode="External"/><Relationship Id="rId27" Type="http://schemas.openxmlformats.org/officeDocument/2006/relationships/hyperlink" Target="http://his.cuahsi.org/wofws.html" TargetMode="External"/><Relationship Id="rId30" Type="http://schemas.openxmlformats.org/officeDocument/2006/relationships/hyperlink" Target="https://www.airnow.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j747ac98061d40f0aa7bd47e1db5675d xmlns="4ffa91fb-a0ff-4ac5-b2db-65c790d184a4">
      <Terms xmlns="http://schemas.microsoft.com/office/infopath/2007/PartnerControls"/>
    </j747ac98061d40f0aa7bd47e1db5675d>
    <e3f09c3df709400db2417a7161762d62 xmlns="4ffa91fb-a0ff-4ac5-b2db-65c790d184a4">
      <Terms xmlns="http://schemas.microsoft.com/office/infopath/2007/PartnerControls"/>
    </e3f09c3df709400db2417a7161762d62>
    <DocumentSetDescription xmlns="http://schemas.microsoft.com/sharepoint/v3">In April 2016, the E-Enterprise Leadership Council recommended five actions that EPA and states should work on together to fully take advantage of rapid changes in environmental monitoring technology.  The recommendations are:
(1) Perform a detailed options and feasibility analysis on the creation of an independent third-party evaluation/certification program to ensure that clear and objective information on the quality of new technologies is available.
(2) Develop and start executing technology scanning and screening procedures within EPA and the states, and provide support to help our users make decisions on which equipment they should purchase or pilot.
(3) Develop messaging and tools to support the interpretation of monitoring results to ensure that data (especially from continuous and short-term monitors) are properly interpreted and communicated to the public.
(4) Develop data standards for advanced monitoring technologies to allow numerous and diverse entities to distribute, share and integrate data.
(5) Lean the current technology approval processes to ensure that regulatory, permitting and compliance programs operate as efficiently as possible.   
Four teams were established to implement these recommendations (program offices will implement Lean independently) and are overseen by a Steering Committee, co-chaired by EPA and the states.  
</DocumentSetDescription>
    <Document_x0020_Creation_x0020_Date xmlns="4ffa91fb-a0ff-4ac5-b2db-65c790d184a4">2017-02-07T05:00:00+00:00</Document_x0020_Creation_x0020_Date>
    <EPA_x0020_Office xmlns="4ffa91fb-a0ff-4ac5-b2db-65c790d184a4" xsi:nil="true"/>
    <CategoryDescription xmlns="http://schemas.microsoft.com/sharepoint.v3" xsi:nil="true"/>
    <_Coverage xmlns="http://schemas.microsoft.com/sharepoint/v3/fields" xsi:nil="true"/>
    <Creator xmlns="4ffa91fb-a0ff-4ac5-b2db-65c790d184a4">
      <UserInfo>
        <DisplayName/>
        <AccountId xsi:nil="true"/>
        <AccountType/>
      </UserInfo>
    </Creator>
    <EPA_x0020_Contributor xmlns="4ffa91fb-a0ff-4ac5-b2db-65c790d184a4">
      <UserInfo>
        <DisplayName/>
        <AccountId xsi:nil="true"/>
        <AccountType/>
      </UserInfo>
    </EPA_x0020_Contributor>
    <TaxCatchAll xmlns="4ffa91fb-a0ff-4ac5-b2db-65c790d184a4"/>
    <SharedWithUsers xmlns="252d68ca-943d-46be-915c-eaec45dd38ca">
      <UserInfo>
        <DisplayName>Dickerson, Phil</DisplayName>
        <AccountId>6927</AccountId>
        <AccountType/>
      </UserInfo>
    </SharedWithUsers>
  </documentManagement>
</p:properties>
</file>

<file path=customXml/item2.xml><?xml version="1.0" encoding="utf-8"?>
<?mso-contentType ?>
<SharedContentType xmlns="Microsoft.SharePoint.Taxonomy.ContentTypeSync" SourceId="29f62856-1543-49d4-a736-4569d363f533"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D6AFA4A830D0384891DADEF5CBE0CEDF" ma:contentTypeVersion="26" ma:contentTypeDescription="Create a new document." ma:contentTypeScope="" ma:versionID="e9c7442b8bae9df43851146683f3cf3d">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252d68ca-943d-46be-915c-eaec45dd38ca" xmlns:ns6="8a8c7ded-1b20-47e0-b24e-ff13f1276370" targetNamespace="http://schemas.microsoft.com/office/2006/metadata/properties" ma:root="true" ma:fieldsID="6313ce37befd00ad19f093887d321493" ns1:_="" ns2:_="" ns3:_="" ns4:_="" ns5:_="" ns6:_="">
    <xsd:import namespace="http://schemas.microsoft.com/sharepoint/v3"/>
    <xsd:import namespace="4ffa91fb-a0ff-4ac5-b2db-65c790d184a4"/>
    <xsd:import namespace="http://schemas.microsoft.com/sharepoint.v3"/>
    <xsd:import namespace="http://schemas.microsoft.com/sharepoint/v3/fields"/>
    <xsd:import namespace="252d68ca-943d-46be-915c-eaec45dd38ca"/>
    <xsd:import namespace="8a8c7ded-1b20-47e0-b24e-ff13f1276370"/>
    <xsd:element name="properties">
      <xsd:complexType>
        <xsd:sequence>
          <xsd:element name="documentManagement">
            <xsd:complexType>
              <xsd:all>
                <xsd:element ref="ns2:Document_x0020_Creation_x0020_Date" minOccurs="0"/>
                <xsd:element ref="ns2:Creator" minOccurs="0"/>
                <xsd:element ref="ns2:EPA_x0020_Office" minOccurs="0"/>
                <xsd:element ref="ns3:CategoryDescription" minOccurs="0"/>
                <xsd:element ref="ns2:EPA_x0020_Contributor" minOccurs="0"/>
                <xsd:element ref="ns4:_Coverage" minOccurs="0"/>
                <xsd:element ref="ns2:j747ac98061d40f0aa7bd47e1db5675d" minOccurs="0"/>
                <xsd:element ref="ns2:TaxCatchAllLabel" minOccurs="0"/>
                <xsd:element ref="ns2:TaxCatchAll" minOccurs="0"/>
                <xsd:element ref="ns2:e3f09c3df709400db2417a7161762d62" minOccurs="0"/>
                <xsd:element ref="ns5:SharedWithUsers" minOccurs="0"/>
                <xsd:element ref="ns5:SharedWithDetails" minOccurs="0"/>
                <xsd:element ref="ns1:DocumentSetDescription" minOccurs="0"/>
                <xsd:element ref="ns5:LastSharedByUser" minOccurs="0"/>
                <xsd:element ref="ns5:LastSharedByTime" minOccurs="0"/>
                <xsd:element ref="ns6:MediaServiceMetadata" minOccurs="0"/>
                <xsd:element ref="ns6: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2" nillable="true" ma:displayName="Description" ma:description="A description of the Document 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EPA_x0020_Contributor" ma:index="8"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j747ac98061d40f0aa7bd47e1db5675d" ma:index="11"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CatchAllLabel" ma:index="14" nillable="true" ma:displayName="Taxonomy Catch All Column1" ma:description="" ma:hidden="true" ma:list="{738cf3bc-ac9e-4b41-84f3-67fb2dd2d565}" ma:internalName="TaxCatchAllLabel" ma:readOnly="true" ma:showField="CatchAllDataLabel" ma:web="87b93111-45fc-4200-b3fe-daede21e656b">
      <xsd:complexType>
        <xsd:complexContent>
          <xsd:extension base="dms:MultiChoiceLookup">
            <xsd:sequence>
              <xsd:element name="Value" type="dms:Lookup" maxOccurs="unbounded" minOccurs="0" nillable="true"/>
            </xsd:sequence>
          </xsd:extension>
        </xsd:complexContent>
      </xsd:complexType>
    </xsd:element>
    <xsd:element name="TaxCatchAll" ma:index="15" nillable="true" ma:displayName="Taxonomy Catch All Column" ma:description="" ma:hidden="true" ma:list="{738cf3bc-ac9e-4b41-84f3-67fb2dd2d565}" ma:internalName="TaxCatchAll" ma:showField="CatchAllData" ma:web="87b93111-45fc-4200-b3fe-daede21e656b">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19"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5"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9"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2d68ca-943d-46be-915c-eaec45dd38ca" elementFormDefault="qualified">
    <xsd:import namespace="http://schemas.microsoft.com/office/2006/documentManagement/types"/>
    <xsd:import namespace="http://schemas.microsoft.com/office/infopath/2007/PartnerControls"/>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description="" ma:internalName="SharedWithDetails" ma:readOnly="true">
      <xsd:simpleType>
        <xsd:restriction base="dms:Note">
          <xsd:maxLength value="255"/>
        </xsd:restriction>
      </xsd:simpleType>
    </xsd:element>
    <xsd:element name="LastSharedByUser" ma:index="23" nillable="true" ma:displayName="Last Shared By User" ma:description="" ma:internalName="LastSharedByUser" ma:readOnly="true">
      <xsd:simpleType>
        <xsd:restriction base="dms:Note">
          <xsd:maxLength value="255"/>
        </xsd:restriction>
      </xsd:simpleType>
    </xsd:element>
    <xsd:element name="LastSharedByTime" ma:index="24"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a8c7ded-1b20-47e0-b24e-ff13f1276370" elementFormDefault="qualified">
    <xsd:import namespace="http://schemas.microsoft.com/office/2006/documentManagement/types"/>
    <xsd:import namespace="http://schemas.microsoft.com/office/infopath/2007/PartnerControls"/>
    <xsd:element name="MediaServiceMetadata" ma:index="25" nillable="true" ma:displayName="MediaServiceMetadata" ma:description="" ma:hidden="true" ma:internalName="MediaServiceMetadata" ma:readOnly="true">
      <xsd:simpleType>
        <xsd:restriction base="dms:Note"/>
      </xsd:simpleType>
    </xsd:element>
    <xsd:element name="MediaServiceFastMetadata" ma:index="2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b:Source>
    <b:Tag>OGC17</b:Tag>
    <b:SourceType>InternetSite</b:SourceType>
    <b:Guid>{F1FC17E8-389F-4910-A88E-C443240A1C55}</b:Guid>
    <b:Author>
      <b:Author>
        <b:NameList>
          <b:Person>
            <b:Last>OGC</b:Last>
          </b:Person>
        </b:NameList>
      </b:Author>
    </b:Author>
    <b:Title>Open Geospatial Consortium</b:Title>
    <b:InternetSiteTitle>OGC: Sensor Observation Service</b:InternetSiteTitle>
    <b:Year>2017</b:Year>
    <b:URL>http://www.opengeospatial.org/standards/sos</b:URL>
    <b:YearAccessed>2017</b:YearAccessed>
    <b:MonthAccessed>March</b:MonthAccessed>
    <b:DayAccessed>14</b:DayAccessed>
    <b:RefOrder>4</b:RefOrder>
  </b:Source>
  <b:Source>
    <b:Tag>Uni17</b:Tag>
    <b:SourceType>InternetSite</b:SourceType>
    <b:Guid>{5B627C19-82A5-4478-B308-CEE391BEDE56}</b:Guid>
    <b:Year>2017</b:Year>
    <b:Author>
      <b:Author>
        <b:NameList>
          <b:Person>
            <b:Last>UCAR</b:Last>
          </b:Person>
        </b:NameList>
      </b:Author>
    </b:Author>
    <b:InternetSiteTitle>Unidata: NetCDF</b:InternetSiteTitle>
    <b:URL>https://www.unidata.ucar.edu/software/netcdf/docs/faq.html#whatisit</b:URL>
    <b:Title>University Corporation for Atmospheric Research</b:Title>
    <b:YearAccessed>2017</b:YearAccessed>
    <b:MonthAccessed>March</b:MonthAccessed>
    <b:DayAccessed>14</b:DayAccessed>
    <b:RefOrder>5</b:RefOrder>
  </b:Source>
  <b:Source>
    <b:Tag>CUA17</b:Tag>
    <b:SourceType>InternetSite</b:SourceType>
    <b:Guid>{90E3F183-C6C2-4020-96E9-2E425A56CF71}</b:Guid>
    <b:Author>
      <b:Author>
        <b:NameList>
          <b:Person>
            <b:Last>CUAHSI</b:Last>
          </b:Person>
        </b:NameList>
      </b:Author>
    </b:Author>
    <b:Title>Hydrologic Information Service: Standards</b:Title>
    <b:InternetSiteTitle>Consortium of Universities for the Advancment of Hydrologic Science, Inc. (CUAHSI)</b:InternetSiteTitle>
    <b:Year>2017</b:Year>
    <b:URL>http://www.opengeospatial.org/standards/sos</b:URL>
    <b:YearAccessed>2017</b:YearAccessed>
    <b:MonthAccessed>March</b:MonthAccessed>
    <b:DayAccessed>14</b:DayAccessed>
    <b:RefOrder>6</b:RefOrder>
  </b:Source>
  <b:Source>
    <b:Tag>EPA17</b:Tag>
    <b:SourceType>InternetSite</b:SourceType>
    <b:Guid>{0FDEA478-4F58-4BCD-8B81-4C47FC57A5AC}</b:Guid>
    <b:Author>
      <b:Author>
        <b:NameList>
          <b:Person>
            <b:Last>EPA</b:Last>
          </b:Person>
        </b:NameList>
      </b:Author>
    </b:Author>
    <b:Title>Water Quality Exchange</b:Title>
    <b:Year>2017</b:Year>
    <b:URL>https://www.epa.gov/waterdata/storage-and-retrieval-and-water-quality-exchange</b:URL>
    <b:YearAccessed>2017</b:YearAccessed>
    <b:MonthAccessed>March</b:MonthAccessed>
    <b:DayAccessed>14</b:DayAccessed>
    <b:RefOrder>7</b:RefOrder>
  </b:Source>
  <b:Source>
    <b:Tag>EPA171</b:Tag>
    <b:SourceType>InternetSite</b:SourceType>
    <b:Guid>{161CE70F-9907-4E80-9B04-9AD78A2E0587}</b:Guid>
    <b:Author>
      <b:Author>
        <b:NameList>
          <b:Person>
            <b:Last>EPA Emergency Response Team</b:Last>
            <b:First>EPA-ERT</b:First>
          </b:Person>
        </b:NameList>
      </b:Author>
    </b:Author>
    <b:Title>Emergency Response Team: VIPER</b:Title>
    <b:InternetSiteTitle>EPA On-scene Coordinators</b:InternetSiteTitle>
    <b:Year>2017</b:Year>
    <b:URL>https://www.epa.gov/waterdata/storage-and-retrieval-and-water-quality-exchange</b:URL>
    <b:YearAccessed>2017</b:YearAccessed>
    <b:MonthAccessed>March</b:MonthAccessed>
    <b:DayAccessed>14</b:DayAccessed>
    <b:RefOrder>8</b:RefOrder>
  </b:Source>
  <b:Source>
    <b:Tag>USG17</b:Tag>
    <b:SourceType>InternetSite</b:SourceType>
    <b:Guid>{01443860-2AC8-4C53-A5EA-19218F913F63}</b:Guid>
    <b:Author>
      <b:Author>
        <b:NameList>
          <b:Person>
            <b:Last>USGS</b:Last>
          </b:Person>
        </b:NameList>
      </b:Author>
    </b:Author>
    <b:Title>Data Standards</b:Title>
    <b:Year>2017</b:Year>
    <b:URL>https://www2.usgs.gov/datamanagement/plan/datastandards.php</b:URL>
    <b:RefOrder>1</b:RefOrder>
  </b:Source>
  <b:Source>
    <b:Tag>OFX17</b:Tag>
    <b:SourceType>InternetSite</b:SourceType>
    <b:Guid>{7092F303-8102-426C-96C5-EAFF7D0092B5}</b:Guid>
    <b:Author>
      <b:Author>
        <b:NameList>
          <b:Person>
            <b:Last>OFX</b:Last>
          </b:Person>
        </b:NameList>
      </b:Author>
    </b:Author>
    <b:Title>Open Financial Exchange</b:Title>
    <b:InternetSiteTitle>Open Financial Exchange</b:InternetSiteTitle>
    <b:Year>2017</b:Year>
    <b:URL>http://www.ofx.net/</b:URL>
    <b:RefOrder>2</b:RefOrder>
  </b:Source>
  <b:Source>
    <b:Tag>IRS17</b:Tag>
    <b:SourceType>InternetSite</b:SourceType>
    <b:Guid>{98112A1F-57B4-4197-93D2-034D0E87E5DF}</b:Guid>
    <b:Author>
      <b:Author>
        <b:NameList>
          <b:Person>
            <b:Last>IRS</b:Last>
          </b:Person>
        </b:NameList>
      </b:Author>
    </b:Author>
    <b:Title>IRS e-file Rules and Requirements</b:Title>
    <b:InternetSiteTitle>IRS e-file Rules and Requirements</b:InternetSiteTitle>
    <b:Year>2017</b:Year>
    <b:URL>https://www.irs.gov/uac/irs-e-file-rules-and-requirements</b:URL>
    <b:RefOrder>3</b:RefOrder>
  </b:Source>
</b:Sources>
</file>

<file path=customXml/itemProps1.xml><?xml version="1.0" encoding="utf-8"?>
<ds:datastoreItem xmlns:ds="http://schemas.openxmlformats.org/officeDocument/2006/customXml" ds:itemID="{0002D743-2F81-4235-88F3-1826D7AF265E}">
  <ds:schemaRefs>
    <ds:schemaRef ds:uri="http://schemas.microsoft.com/office/2006/metadata/properties"/>
    <ds:schemaRef ds:uri="http://schemas.microsoft.com/office/infopath/2007/PartnerControls"/>
    <ds:schemaRef ds:uri="4ffa91fb-a0ff-4ac5-b2db-65c790d184a4"/>
    <ds:schemaRef ds:uri="http://schemas.microsoft.com/sharepoint/v3"/>
    <ds:schemaRef ds:uri="http://schemas.microsoft.com/sharepoint.v3"/>
    <ds:schemaRef ds:uri="http://schemas.microsoft.com/sharepoint/v3/fields"/>
    <ds:schemaRef ds:uri="252d68ca-943d-46be-915c-eaec45dd38ca"/>
  </ds:schemaRefs>
</ds:datastoreItem>
</file>

<file path=customXml/itemProps2.xml><?xml version="1.0" encoding="utf-8"?>
<ds:datastoreItem xmlns:ds="http://schemas.openxmlformats.org/officeDocument/2006/customXml" ds:itemID="{6A798D82-2500-47F4-B6F8-2C119E3D557B}">
  <ds:schemaRefs>
    <ds:schemaRef ds:uri="Microsoft.SharePoint.Taxonomy.ContentTypeSync"/>
  </ds:schemaRefs>
</ds:datastoreItem>
</file>

<file path=customXml/itemProps3.xml><?xml version="1.0" encoding="utf-8"?>
<ds:datastoreItem xmlns:ds="http://schemas.openxmlformats.org/officeDocument/2006/customXml" ds:itemID="{0BAB8081-AFF5-47B8-88BB-3ECAE55849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252d68ca-943d-46be-915c-eaec45dd38ca"/>
    <ds:schemaRef ds:uri="8a8c7ded-1b20-47e0-b24e-ff13f12763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D34A80-28DD-41C0-B735-77DBBFA80105}">
  <ds:schemaRefs>
    <ds:schemaRef ds:uri="http://schemas.microsoft.com/sharepoint/v3/contenttype/forms"/>
  </ds:schemaRefs>
</ds:datastoreItem>
</file>

<file path=customXml/itemProps5.xml><?xml version="1.0" encoding="utf-8"?>
<ds:datastoreItem xmlns:ds="http://schemas.openxmlformats.org/officeDocument/2006/customXml" ds:itemID="{3F28B9F8-0B75-4E92-B29F-EF7677105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568</TotalTime>
  <Pages>17</Pages>
  <Words>8250</Words>
  <Characters>46863</Characters>
  <Application>Microsoft Office Word</Application>
  <DocSecurity>0</DocSecurity>
  <Lines>781</Lines>
  <Paragraphs>390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Young, Dwane</dc:creator>
  <cp:keywords/>
  <dc:description/>
  <cp:lastModifiedBy>McMahon, Ethan</cp:lastModifiedBy>
  <cp:revision>58</cp:revision>
  <cp:lastPrinted>2018-04-13T20:54:00Z</cp:lastPrinted>
  <dcterms:created xsi:type="dcterms:W3CDTF">2018-02-21T19:54:00Z</dcterms:created>
  <dcterms:modified xsi:type="dcterms:W3CDTF">2018-04-13T21:58:00Z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0x010100D6AFA4A830D0384891DADEF5CBE0CEDF</vt:lpwstr>
  </property>
  <property fmtid="{D5CDD505-2E9C-101B-9397-08002B2CF9AE}" pid="3" name="Document Type">
    <vt:lpwstr/>
  </property>
  <property fmtid="{D5CDD505-2E9C-101B-9397-08002B2CF9AE}" pid="4" name="EPA Subject">
    <vt:lpwstr/>
  </property>
  <property fmtid="{D5CDD505-2E9C-101B-9397-08002B2CF9AE}" pid="5" name="_docset_NoMedatataSyncRequired">
    <vt:lpwstr>False</vt:lpwstr>
  </property>
</Properties>
</file>